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InvStG 2018 — Rechtsformen von inländischen Spezial-Investmentfonds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Inländische Spezial-Investmentfonds können gebildet werden</w:t>
      </w:r>
    </w:p>
    <w:p>
      <w:pPr>
        <w:ind w:left="420"/>
      </w:pPr>
      <w:r>
        <w:t xml:space="preserve">1. in Form eines Sondervermögens nach § 1 Absatz 10 des Kapitalanlagegesetzbuchs oder</w:t>
      </w:r>
    </w:p>
    <w:p>
      <w:pPr>
        <w:ind w:left="420"/>
      </w:pPr>
      <w:r>
        <w:t xml:space="preserve">2. in Form einer Investmentaktiengesellschaft mit veränderlichem Kapital nach § 108 des Kapitalanlagegesetzbuchs.</w:t>
      </w:r>
    </w:p>
    <w:p>
      <w:r>
        <w:rPr>
          <w:color w:val="555555"/>
          <w:sz w:val="17"/>
        </w:rPr>
        <w:t xml:space="preserve">Zitiervorschlag: § 27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