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InvStG 2018 — Verschmelzung von Investmentfonds</w:t>
      </w:r>
    </w:p>
    <w:p>
      <w:r>
        <w:rPr>
          <w:color w:val="555555"/>
          <w:sz w:val="18"/>
        </w:rPr>
        <w:t xml:space="preserve">Investmentsteuergesetz</w:t>
      </w:r>
    </w:p>
    <w:p>
      <w:r>
        <w:rPr>
          <w:color w:val="555555"/>
          <w:sz w:val="18"/>
        </w:rPr>
        <w:t xml:space="preserve">Stand: 10.06.2019 (konsolidierte Textfassung, kein amtliches Inkrafttretensdatum)</w:t>
      </w:r>
    </w:p>
    <w:p>
      <w:r>
        <w:t xml:space="preserve">(1) Werden inländische Investmentfonds nach den §§ 181 bis 191 des Kapitalanlagegesetzbuchs miteinander verschmolzen, so hat</w:t>
      </w:r>
    </w:p>
    <w:p>
      <w:pPr>
        <w:ind w:left="420"/>
      </w:pPr>
      <w:r>
        <w:t xml:space="preserve">1. der übertragende Investmentfonds die zu übertragenden Vermögensgegenstände und Verbindlichkeiten, die Teil des Nettoinventars sind, mit den Anschaffungskosten abzüglich der Absetzungen für Abnutzung oder Substanzverringerung (fortgeführte Anschaffungskosten) zu seinem Geschäftsjahresende (Übertragungsstichtag) anzusetzen und</w:t>
      </w:r>
    </w:p>
    <w:p>
      <w:pPr>
        <w:ind w:left="420"/>
      </w:pPr>
      <w:r>
        <w:t xml:space="preserve">2. der übernehmende Investmentfonds die übernommenen Vermögensgegenstände und Verbindlichkeiten mit den fortgeführten Anschaffungskosten zu Beginn des dem Übertragungsstichtag folgenden Tages anzusetzen.</w:t>
      </w:r>
    </w:p>
    <w:p>
      <w:r>
        <w:t xml:space="preserve">Ein nach § 189 Absatz 2 Satz 1 des Kapitalanlagegesetzbuchs bestimmter Übertragungsstichtag gilt als Geschäftsjahresende des übertragenden Investmentfonds.</w:t>
      </w:r>
    </w:p>
    <w:p>
      <w:r>
        <w:t xml:space="preserve">(2) Der übernehmende Investmentfonds tritt in die steuerliche Rechtsstellung des übertragenden Investmentfonds ein.</w:t>
      </w:r>
    </w:p>
    <w:p>
      <w:r>
        <w:t xml:space="preserve">(3) Die Ausgabe der Anteile am übernehmenden Investmentfonds an die Anleger des übertragenden Investmentfonds gilt nicht als Tausch. Die erworbenen Anteile an dem übernehmenden Investmentfonds treten an die Stelle der Anteile an dem übertragenden Investmentfonds. Erhalten die Anleger des übertragenden Investmentfonds eine Barzahlung nach § 190 des Kapitalanlagegesetzbuchs, so gilt diese als Ertrag nach § 16 Absatz 1 Nummer 1.</w:t>
      </w:r>
    </w:p>
    <w:p>
      <w:r>
        <w:t xml:space="preserve">(4) Die Absätze 1 bis 3 gelten auch für die Verschmelzung von ausländischen Investmentfonds miteinander, die demselben Recht eines Amts- und Beitreibungshilfe leistenden ausländischen Staates unterliegen.</w:t>
      </w:r>
    </w:p>
    <w:p>
      <w:r>
        <w:rPr>
          <w:color w:val="555555"/>
          <w:sz w:val="17"/>
        </w:rPr>
        <w:t xml:space="preserve">Zitiervorschlag: § 23 InvStG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https://recht.nulegal.eu/gesetze/InvStG%202018/23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