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InvStG 2018 — Änderung des anwendbaren Teilfreistellungssatzes</w:t>
      </w:r>
    </w:p>
    <w:p>
      <w:r>
        <w:rPr>
          <w:color w:val="555555"/>
          <w:sz w:val="18"/>
        </w:rPr>
        <w:t xml:space="preserve">Investmentsteuergesetz</w:t>
      </w:r>
    </w:p>
    <w:p>
      <w:r>
        <w:rPr>
          <w:color w:val="555555"/>
          <w:sz w:val="18"/>
        </w:rPr>
        <w:t xml:space="preserve">Stand: 10.12.2024 (konsolidierte Textfassung, kein amtliches Inkrafttretensdatum)</w:t>
      </w:r>
    </w:p>
    <w:p>
      <w:r>
        <w:t xml:space="preserve">(1) Ändert sich der anwendbare Teilfreistellungssatz oder fallen die Voraussetzungen der Teilfreistellung weg, so gilt der Investmentanteil als veräußert und an dem Folgetag als angeschafft. Der Investmentanteil gilt mit Ablauf des Veranlagungszeitraums als veräußert, wenn der Anleger in dem Veranlagungszeitraum den Nachweis nach § 20 Absatz 4 Satz 1 erbringt und für den folgenden Veranlagungszeitraum kein Nachweis oder ein Nachweis für einen anderen Teilfreistellungssatz erbracht wird.</w:t>
      </w:r>
    </w:p>
    <w:p>
      <w:r>
        <w:t xml:space="preserve">(2) Als Veräußerungserlös und Anschaffungskosten ist</w:t>
      </w:r>
    </w:p>
    <w:p>
      <w:pPr>
        <w:ind w:left="420"/>
      </w:pPr>
      <w:r>
        <w:t xml:space="preserve">1. in den Fällen des Absatzes 1 Satz 1 der Rücknahmepreis des Tages anzusetzen, an dem die Änderung eingetreten ist oder an dem die Voraussetzungen weggefallen sind, oder</w:t>
      </w:r>
    </w:p>
    <w:p>
      <w:pPr>
        <w:ind w:left="420"/>
      </w:pPr>
      <w:r>
        <w:t xml:space="preserve">2. in den Fällen des Absatzes 1 Satz 2 der letzte festgesetzte Rücknahmepreis des Veranlagungszeitraums anzusetzen, in dem das Vorliegen der Voraussetzungen für eine Teilfreistellung oder für einen anderen Teilfreistellungssatz nachgewiesen wurde.</w:t>
      </w:r>
    </w:p>
    <w:p>
      <w:r>
        <w:t xml:space="preserve">Wird kein Rücknahmepreis festgesetzt, so tritt der Börsen- oder Marktpreis an die Stelle des Rücknahmepreises. Ändert sich der anwendbare Teilfreistellungssatz durch die Einlage eines Investmentanteils in ein Betriebsvermögen, ist der nach den Sätzen 1 und 2 anzusetzende Wert als Einlagewert im Sinne von § 6 Absatz 1 Nummer 5 Satz 1 zweiter Halbsatz Buchstabe c des Einkommensteuergesetzes anzusetzen. Der nach den Sätzen 1 bis 3 anzusetzende Wert gilt als Anschaffungskosten im Sinne von § 6 Absatz 1 Nummer 2 Satz 1 des Einkommensteuergesetzes. Soweit der nach den Sätzen 1 bis 3 anzusetzende Wert höher ist als der Wert vor der fiktiven Veräußerung, sind Wertminderungen im Sinne von § 6 Absatz 1 Nummer 2 Satz 2 des Einkommensteuergesetzes erst zum Zeitpunkt der tatsächlichen Veräußerung des Investmentanteils zu berücksichtigen. Wertaufholungen im Sinne des § 6 Absatz 1 Nummer 2 Satz 3 in Verbindung mit Nummer 1 Satz 4 des Einkommensteuergesetzes sind erst zum Zeitpunkt der tatsächlichen Veräußerung zu berücksichtigen, soweit auf die vorherigen Wertminderungen Satz 5 angewendet wurde und soweit der Wert vor der fiktiven Veräußerung überschritten wird.</w:t>
      </w:r>
    </w:p>
    <w:p>
      <w:r>
        <w:t xml:space="preserve">(3) Der Gewinn aus der fiktiven Veräußerung nach Absatz 1 gilt in dem Zeitpunkt als zugeflossen, in dem der Investmentanteil tatsächlich veräußert wird oder nach § 19 Absatz 2 oder 3 als veräußert gilt. Der Gewinn aus der fiktiven Veräußerung nach Absatz 1 unterliegt dem gesonderten Steuertarif für Einkünfte aus Kapitalvermögen nach § 32d des Einkommensteuergesetzes, wenn im Zeitpunkt der fiktiven Veräußerung die Voraussetzungen für eine Besteuerung nach § 20 Absatz 1 Nummer 3 des Einkommensteuergesetzes vorlagen und keine abweichende Zuordnung zu anderen Einkunftsarten nach § 20 Absatz 8 Satz 1 des Einkommensteuergesetzes vorzunehmen war.</w:t>
      </w:r>
    </w:p>
    <w:p>
      <w:r>
        <w:rPr>
          <w:color w:val="555555"/>
          <w:sz w:val="17"/>
        </w:rPr>
        <w:t xml:space="preserve">Zitiervorschlag: § 22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