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InvStG 2018 — Vorabpauschale</w:t>
      </w:r>
    </w:p>
    <w:p>
      <w:r>
        <w:rPr>
          <w:color w:val="555555"/>
          <w:sz w:val="18"/>
        </w:rPr>
        <w:t xml:space="preserve">Investmentsteuergesetz</w:t>
      </w:r>
    </w:p>
    <w:p>
      <w:r>
        <w:rPr>
          <w:color w:val="555555"/>
          <w:sz w:val="18"/>
        </w:rPr>
        <w:t xml:space="preserve">Stand: 10.06.2019 (konsolidierte Textfassung, kein amtliches Inkrafttretensdatum)</w:t>
      </w:r>
    </w:p>
    <w:p>
      <w:r>
        <w:t xml:space="preserve">(1) Die Vorabpauschale ist der Betrag, um den die Ausschüttungen eines Investmentfonds innerhalb eines Kalenderjahres den Basisertrag für dieses Kalenderjahr unterschreiten. Der Basisertrag wird ermittelt durch Multiplikation des Rücknahmepreises des Investmentanteils zu Beginn des Kalenderjahres mit 70 Prozent des Basiszinses nach Absatz 4. Der Basisertrag ist auf den Mehrbetrag begrenzt, der sich zwischen dem ersten und dem letzten im Kalenderjahr festgesetzten Rücknahmepreis zuzüglich der Ausschüttungen innerhalb des Kalenderjahres ergibt. Wird kein Rücknahmepreis festgesetzt, so tritt der Börsen- oder Marktpreis an die Stelle des Rücknahmepreises.</w:t>
      </w:r>
    </w:p>
    <w:p>
      <w:r>
        <w:t xml:space="preserve">(2) Im Jahr des Erwerbs der Investmentanteile vermindert sich die Vorabpauschale um ein Zwölftel für jeden vollen Monat, der dem Monat des Erwerbs vorangeht.</w:t>
      </w:r>
    </w:p>
    <w:p>
      <w:r>
        <w:t xml:space="preserve">(3) Die Vorabpauschale gilt am ersten Werktag des folgenden Kalenderjahres als zugeflossen.</w:t>
      </w:r>
    </w:p>
    <w:p>
      <w:r>
        <w:t xml:space="preserve">(4) Der Basiszins ist aus der langfristig erzielbaren Rendite öffentlicher Anleihen abzuleiten. Dabei ist auf den Zinssatz abzustellen, den die Deutsche Bundesbank anhand der Zinsstrukturdaten jeweils auf den ersten Börsentag des Jahres errechnet. Das Bundesministerium der Finanzen veröffentlicht den maßgebenden Zinssatz im Bundessteuerblatt.</w:t>
      </w:r>
    </w:p>
    <w:p>
      <w:r>
        <w:rPr>
          <w:color w:val="555555"/>
          <w:sz w:val="17"/>
        </w:rPr>
        <w:t xml:space="preserve">Zitiervorschlag: § 18 InvStG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https://recht.nulegal.eu/gesetze/InvStG%202018/18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