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InvStG 2018 — Gewerbesteuer</w:t>
      </w:r>
    </w:p>
    <w:p>
      <w:r>
        <w:rPr>
          <w:color w:val="555555"/>
          <w:sz w:val="18"/>
        </w:rPr>
        <w:t xml:space="preserve">Investmentsteuergesetz</w:t>
      </w:r>
    </w:p>
    <w:p>
      <w:r>
        <w:rPr>
          <w:color w:val="555555"/>
          <w:sz w:val="18"/>
        </w:rPr>
        <w:t xml:space="preserve">Stand: 14.03.2026 (konsolidierte Textfassung, kein amtliches Inkrafttretensdatum)</w:t>
      </w:r>
    </w:p>
    <w:p>
      <w:r>
        <w:t xml:space="preserve">(1) Investmentfonds gelten als sonstige juristische Personen des privaten Rechts nach § 2 Absatz 3 des Gewerbesteuergesetzes.</w:t>
      </w:r>
    </w:p>
    <w:p>
      <w:r>
        <w:t xml:space="preserve">(2) Ein Investmentfonds ist von der Gewerbesteuer befreit, wenn</w:t>
      </w:r>
    </w:p>
    <w:p>
      <w:pPr>
        <w:ind w:left="420"/>
      </w:pPr>
      <w:r>
        <w:t xml:space="preserve">1. sein objektiver Geschäftszweck auf die Anlage und Verwaltung seiner Mittel für gemeinschaftliche Rechnung der Anleger beschränkt ist und</w:t>
      </w:r>
    </w:p>
    <w:p>
      <w:pPr>
        <w:ind w:left="420"/>
      </w:pPr>
      <w:r>
        <w:t xml:space="preserve">2. er seine Vermögensgegenstände nicht in wesentlichem Umfang aktiv unternehmerisch bewirtschaftet.</w:t>
      </w:r>
    </w:p>
    <w:p>
      <w:r>
        <w:t xml:space="preserve">Satz 1 Nummer 2 ist nicht anzuwenden auf Beteiligungen an</w:t>
      </w:r>
    </w:p>
    <w:p>
      <w:pPr>
        <w:ind w:left="420"/>
      </w:pPr>
      <w:r>
        <w:t xml:space="preserve">1. Gesellschaften, deren Unternehmensgegenstand auf die Bewirtschaftung von erneuerbaren Energien nach § 1 Absatz 19 Nummer 6a des Kapitalanlagegesetzbuchs gerichtet ist,</w:t>
      </w:r>
    </w:p>
    <w:p>
      <w:pPr>
        <w:ind w:left="420"/>
      </w:pPr>
      <w:r>
        <w:t xml:space="preserve">2. Immobilien-Gesellschaften nach § 1 Absatz 19 Nummer 22 des Kapitalanlagegesetzbuchs,</w:t>
      </w:r>
    </w:p>
    <w:p>
      <w:pPr>
        <w:ind w:left="420"/>
      </w:pPr>
      <w:r>
        <w:t xml:space="preserve">3. Infrastruktur-Projektgesellschaften nach § 1 Absatz 19 Nummer 23a des Kapitalanlagegesetzbuchs und</w:t>
      </w:r>
    </w:p>
    <w:p>
      <w:pPr>
        <w:ind w:left="420"/>
      </w:pPr>
      <w:r>
        <w:t xml:space="preserve">4. ÖPP-Projektgesellschaften nach § 1 Absatz 19 Nummer 28 des Kapitalanlagegesetzbuchs.</w:t>
      </w:r>
    </w:p>
    <w:p>
      <w:r>
        <w:t xml:space="preserve">(3) Die Voraussetzungen des Absatzes 2 gelten als erfüllt, wenn die Einnahmen aus einer aktiven unternehmerischen Bewirtschaftung ohne die Einnahmen aus Beteiligungen nach Absatz 2 Satz 2 in einem Geschäftsjahr weniger als 5 Prozent der gesamten Einnahmen des Investmentfonds betragen.</w:t>
      </w:r>
    </w:p>
    <w:p>
      <w:r>
        <w:t xml:space="preserve">(4) Die aktive unternehmerische Tätigkeit eines gewerbesteuerpflichtigen Investmentfonds bildet einen wirtschaftlichen Geschäftsbetrieb. Der Gewinn des wirtschaftlichen Geschäftsbetriebs ist als Überschuss der Betriebseinnahmen über die Betriebsausgaben zu ermitteln. Der so ermittelte Gewinn ist der Gewinn nach § 7 Satz 1 des Gewerbesteuergesetzes zur Ermittlung des Gewerbeertrags.</w:t>
      </w:r>
    </w:p>
    <w:p>
      <w:r>
        <w:rPr>
          <w:color w:val="555555"/>
          <w:sz w:val="17"/>
        </w:rPr>
        <w:t xml:space="preserve">Zitiervorschlag: § 15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