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InvStG 2018 — Wegfall der Steuerbefreiung eines Anlegers</w:t>
      </w:r>
    </w:p>
    <w:p>
      <w:r>
        <w:rPr>
          <w:color w:val="555555"/>
          <w:sz w:val="18"/>
        </w:rPr>
        <w:t xml:space="preserve">Investmentsteuergesetz</w:t>
      </w:r>
    </w:p>
    <w:p>
      <w:r>
        <w:rPr>
          <w:color w:val="555555"/>
          <w:sz w:val="18"/>
        </w:rPr>
        <w:t xml:space="preserve">Stand: 10.06.2019 (konsolidierte Textfassung, kein amtliches Inkrafttretensdatum)</w:t>
      </w:r>
    </w:p>
    <w:p>
      <w:r>
        <w:t xml:space="preserve">(1) Fallen die Voraussetzungen für eine Steuerbefreiung eines Anlegers eines Investmentfonds oder einer Anteilklasse nach § 10 weg, so ist der Anleger verpflichtet, dies dem Investmentfonds innerhalb eines Monats nach dem Wegfall der Voraussetzungen mitzuteilen. Das Gleiche gilt, wenn ein Anleger seine Investmentanteile an einem Investmentfonds oder einer Anteilklasse nach § 10 auf einen anderen Anleger überträgt.</w:t>
      </w:r>
    </w:p>
    <w:p>
      <w:r>
        <w:t xml:space="preserve">(2) Die Steuerbefreiung eines Investmentfonds oder einer Anteilklasse nach § 10 entfällt in dem Umfang, in dem bei den Anlegern des Investmentfonds die Voraussetzungen für eine Steuerbefreiung wegfallen oder die Investmentanteile auf einen anderen Anleger übertragen werden.</w:t>
      </w:r>
    </w:p>
    <w:p>
      <w:r>
        <w:t xml:space="preserve">(3) Der Anleger hat unverzüglich die in den Fällen des Absatzes 2 zu Unrecht gewährten Befreiungsbeträge an den Investmentfonds zurückzuzahlen.</w:t>
      </w:r>
    </w:p>
    <w:p>
      <w:r>
        <w:t xml:space="preserve">(4) Der Investmentfonds hat in den Fällen des Absatzes 2 die zurückgezahlten Befreiungsbeträge und die noch nicht ausgezahlten Befreiungsbeträge unverzüglich an die nach § 4 Absatz 1 oder Absatz 2 Nummer 1 zuständige Finanzbehörde zu zahlen. Fehlt eine nach § 4 Absatz 1 oder Absatz 2 Nummer 1 zuständige Finanzbehörde, so hat der Investmentfonds die zurückgezahlten Befreiungsbeträge und die noch nicht ausgezahlten Befreiungsbeträge unverzüglich an den Entrichtungspflichtigen zu zahlen.</w:t>
      </w:r>
    </w:p>
    <w:p>
      <w:r>
        <w:rPr>
          <w:color w:val="555555"/>
          <w:sz w:val="17"/>
        </w:rPr>
        <w:t xml:space="preserve">Zitiervorschlag: § 13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