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InvStG 2018 — Leistungspflicht gegenüber steuerbegünstigten Anlegern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Investmentfonds hat den steuerbegünstigten Anlegern einen Betrag in Höhe der aufgrund der §§ 8 und 10 nicht erhobenen Steuer und der nach § 7 Absatz 5 oder nach § 11 Absatz 1 Satz 1 Nummer 2 erstatteten Steuer (Befreiungsbetrag) auszuzahlen.</w:t>
      </w:r>
    </w:p>
    <w:p>
      <w:r>
        <w:t xml:space="preserve">(2) Die Anbieter von Altersvorsorge- oder Basisrentenverträgen haben den Befreiungsbetrag zugunsten der Berechtigten aus den Altersvorsorge- oder Basisrentenverträgen wieder anzulegen. Ein Anspruch auf Wiederanlage besteht nur, wenn zum Zeitpunkt des Zuflusses des Befreiungsbetrags an den Anbieter (Stichtag) ein Altersvorsorge- oder Basisrentenvertrag besteht. Die Höhe des wieder anzulegenden Betrags richtet sich nach der Anzahl der Investmentanteile, die im Rahmen des Vertrags am Stichtag gehalten werden, im Verhältnis zum Gesamtzufluss.</w:t>
      </w:r>
    </w:p>
    <w:p>
      <w:r>
        <w:rPr>
          <w:color w:val="555555"/>
          <w:sz w:val="17"/>
        </w:rPr>
        <w:t xml:space="preserve">Zitiervorschlag: § 12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