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InvStG 2018 — Erstattung von Kapitalertragsteuer an Investmentfonds durch die Finanzbehörden</w:t>
      </w:r>
    </w:p>
    <w:p>
      <w:r>
        <w:rPr>
          <w:color w:val="555555"/>
          <w:sz w:val="18"/>
        </w:rPr>
        <w:t xml:space="preserve">Investmentsteuergesetz</w:t>
      </w:r>
    </w:p>
    <w:p>
      <w:r>
        <w:rPr>
          <w:color w:val="555555"/>
          <w:sz w:val="18"/>
        </w:rPr>
        <w:t xml:space="preserve">Stand: 09.06.2021 (konsolidierte Textfassung, kein amtliches Inkrafttretensdatum)</w:t>
      </w:r>
    </w:p>
    <w:p>
      <w:r>
        <w:t xml:space="preserve">(1) Das Betriebsstättenfinanzamt des Entrichtungspflichtigen erstattet auf Antrag des Investmentfonds die einbehaltene Kapitalertragsteuer, wenn</w:t>
      </w:r>
    </w:p>
    <w:p>
      <w:pPr>
        <w:ind w:left="420"/>
      </w:pPr>
      <w:r>
        <w:t xml:space="preserve">1. auf nicht nach § 6 Absatz 2 steuerpflichtige Kapitalerträge Kapitalertragsteuer und Solidaritätszuschlag einbehalten und abgeführt wurde und der Entrichtungspflichtige keine Erstattung vorgenommen hat,</w:t>
      </w:r>
    </w:p>
    <w:p>
      <w:pPr>
        <w:ind w:left="420"/>
      </w:pPr>
      <w:r>
        <w:t xml:space="preserve">2. in über § 7 hinausgehender Höhe Kapitalertragsteuer und Solidaritätszuschlag einbehalten und abgeführt wurde und der Entrichtungspflichtige keine Erstattung vorgenommen hat oder</w:t>
      </w:r>
    </w:p>
    <w:p>
      <w:pPr>
        <w:ind w:left="420"/>
      </w:pPr>
      <w:r>
        <w:t xml:space="preserve">3. in den Fällen der §§ 8 und 10 nicht vom Steuerabzug Abstand genommen wurde</w:t>
      </w:r>
    </w:p>
    <w:p>
      <w:r>
        <w:t xml:space="preserve">und eine Statusbescheinigung, eine Steuerbescheinigung und eine Erklärung des Entrichtungspflichtigen vorgelegt werden, aus der hervorgeht, dass eine Erstattung weder vorgenommen wurde noch vorgenommen wird. Die Erstattung nach Satz 1 Nummer 3 setzt zusätzlich voraus, dass die Bescheinigungen und die Mitteilungen nach den §§ 8 bis 10 beigefügt werden. Bei beschränkt körperschaftsteuerpflichtigen Investmentfonds tritt das Bundeszentralamt für Steuern an die Stelle des Betriebsstättenfinanzamtes des Entrichtungspflichtigen. Eine Steuerbescheinigung gilt als vorgelegt, soweit bei beschränkt körperschaftsteuerpflichtigen Investmentfonds Angaben nach § 45a Absatz 2a des Einkommensteuergesetzes übermittelt wurden.</w:t>
      </w:r>
    </w:p>
    <w:p>
      <w:r>
        <w:t xml:space="preserve">(2) Der Antrag auf Erstattung der Kapitalertragsteuer ist innerhalb von zwei Jahren nach Ablauf des Geschäftsjahres des Investmentfonds für das Geschäftsjahr nach amtlich vorgeschriebenem Muster zu stellen. Beträgt der Zeitraum zwischen dem Zugang eines Antrags auf Erteilung einer Statusbescheinigung als Investmentfonds oder eines Antrags auf Erteilung einer Bescheinigung nach § 9 Absatz 1 und der Bestandskraft der Entscheidung über diesen Antrag mehr als sechs Monate, so verlängert sich die Antragsfrist entsprechend. Im Übrigen kann die Antragsfrist nicht verlängert werden. Eine Erstattung ist ausgeschlossen, wenn die Unterlagen nach Absatz 1 Satz 1 oder 2 nicht innerhalb der Antragsfrist eingereicht werden.</w:t>
      </w:r>
    </w:p>
    <w:p>
      <w:r>
        <w:rPr>
          <w:color w:val="555555"/>
          <w:sz w:val="17"/>
        </w:rPr>
        <w:t xml:space="preserve">Zitiervorschlag: § 11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