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InvKG — Rückforderung</w:t>
      </w:r>
    </w:p>
    <w:p>
      <w:r>
        <w:rPr>
          <w:color w:val="555555"/>
          <w:sz w:val="18"/>
        </w:rPr>
        <w:t xml:space="preserve">Investitionsgesetz Kohleregionen</w:t>
      </w:r>
    </w:p>
    <w:p>
      <w:r>
        <w:rPr>
          <w:color w:val="555555"/>
          <w:sz w:val="18"/>
        </w:rPr>
        <w:t xml:space="preserve">Stand: 14.08.2020 (konsolidierte Textfassung, kein amtliches Inkrafttretensdatum)</w:t>
      </w:r>
    </w:p>
    <w:p>
      <w:r>
        <w:t xml:space="preserve">(1) Der Bund kann von den Ländern die zugewiesenen Finanzhilfen zurückfordern, wenn geförderte einzelne Maßnahmen nicht die Voraussetzungen des § 2 sowie der §§ 4 bis 8 erfüllen und der zurückzuzahlende Betrag 1 000 Euro je Maßnahme übersteigt. Die zurückgeforderten Mittel können vorbehaltlich des Absatzes 2 Satz 1 dem jeweiligen Land erneut zur Verfügung gestellt werden.</w:t>
      </w:r>
    </w:p>
    <w:p>
      <w:r>
        <w:t xml:space="preserve">(2) Nach dem 31. Dezember 2042 dürfen Bundesmittel nicht mehr zur Auszahlung angeordnet werden. Der Rückforderungsanspruch nach Absatz 1 bleibt unberührt.</w:t>
      </w:r>
    </w:p>
    <w:p>
      <w:r>
        <w:t xml:space="preserve">(3) Nach Absatz 1 zurückzuzahlende Mittel sind mit 5 Prozent über dem Refinanzierungszinssatz des Bundes, mindestens aber mit 1 Prozent zu verzinsen. Werden Mittel entgegen § 7 Absatz 2 Satz 2 und 3 zu früh angewiesen, so sind für die Zeit der Auszahlung bis zur zweckentsprechenden Verwendung Zinsen zu zahlen.</w:t>
      </w:r>
    </w:p>
    <w:p>
      <w:r>
        <w:t xml:space="preserve">(4) Zur Gewährleistung der zweckentsprechenden Mittelverwendung kann die Bundesregierung Bericht und Vorlage der Akten verlangen und Erhebungen bei allen Behörden durchführen. Die Prüfungsrechte des Bundesrechnungshofes bleiben unberührt.</w:t>
      </w:r>
    </w:p>
    <w:p>
      <w:r>
        <w:rPr>
          <w:color w:val="555555"/>
          <w:sz w:val="17"/>
        </w:rPr>
        <w:t xml:space="preserve">Zitiervorschlag: § 9 InvKG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https://recht.nulegal.eu/gesetze/InvKG/9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