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InvKG — Prüfung der Mittelverwendung</w:t>
      </w:r>
    </w:p>
    <w:p>
      <w:r>
        <w:rPr>
          <w:color w:val="555555"/>
          <w:sz w:val="18"/>
        </w:rPr>
        <w:t xml:space="preserve">Investitionsgesetz Kohleregionen</w:t>
      </w:r>
    </w:p>
    <w:p>
      <w:r>
        <w:rPr>
          <w:color w:val="555555"/>
          <w:sz w:val="18"/>
        </w:rPr>
        <w:t xml:space="preserve">Stand: 24.07.2026 (konsolidierte Textfassung, kein amtliches Inkrafttretensdatum)</w:t>
      </w:r>
    </w:p>
    <w:p>
      <w:r>
        <w:t xml:space="preserve">(1) Die zuständigen obersten Landesbehörden sind verpflichtet, dem Bundesministerium für Wirtschaft und Energie die zur Durchführung des Gesetzes erforderlichen Auskünfte zu erteilen. Die Erhebungsrechte des Bundesrechnungshofes nach Artikel 114 Absatz 2 Satz 2 des Grundgesetzes in Verbindung mit § 91 Absatz 1 Nummer 5 der Bundeshaushaltsordnung bleiben unberührt.</w:t>
      </w:r>
    </w:p>
    <w:p>
      <w:r>
        <w:t xml:space="preserve">(2) Die zuständigen obersten Landesbehörden übersenden dem Bundesministerium für Wirtschaft und Energie halbjährlich jeweils bis zum Ablauf des 31. Januar und bis zum Ablauf des 31. Juli eines Jahres Übersichten über den Stand zur Umsetzung der laufenden Maßnahmen sowie zur zweckentsprechenden Verwendung der Bundesmittel der abgeschlossenen Maßnahmen. Das Nähere regelt die Verwaltungsvereinbarung nach § 10.</w:t>
      </w:r>
    </w:p>
    <w:p>
      <w:r>
        <w:t xml:space="preserve">(3) (weggefallen)</w:t>
      </w:r>
    </w:p>
    <w:p>
      <w:r>
        <w:rPr>
          <w:color w:val="555555"/>
          <w:sz w:val="17"/>
        </w:rPr>
        <w:t xml:space="preserve">Zitiervorschlag: § 8 InvKG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