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InvKG — Förderbereiche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Die Finanzhilfen nach Artikel 104b des Grundgesetzes werden den Ländern trägerneutral für Investitionen zur Verbesserung der wirtschaftlichen Infrastruktur insbesondere in folgenden Bereichen gewährt:</w:t>
      </w:r>
    </w:p>
    <w:p>
      <w:pPr>
        <w:ind w:left="420"/>
      </w:pPr>
      <w:r>
        <w:t xml:space="preserve">1. wirtschaftsnahe Infrastruktur ohne öffentliche Verkehrswege, insbesondere Erwerb und Herrichtung von Flächen für Unternehmen sowie die energetische Sanierung von infolge des Ausstiegs aus der Braunkohleverstromung zur Verfügung stehenden Gebäuden zur Nachnutzung,</w:t>
      </w:r>
    </w:p>
    <w:p>
      <w:pPr>
        <w:ind w:left="420"/>
      </w:pPr>
      <w:r>
        <w:t xml:space="preserve">2. Verkehr ohne Bundes-, Landes- und Kommunalstraßen, insbesondere zur Verbesserung der Verkehrsverhältnisse der Gemeinden sowie Schienenbahnen, die nicht Eisenbahnen des Bundes sind, im Rahmen des öffentlichen Personennahverkehrs,</w:t>
      </w:r>
    </w:p>
    <w:p>
      <w:pPr>
        <w:ind w:left="420"/>
      </w:pPr>
      <w:r>
        <w:t xml:space="preserve">3. öffentliche Fürsorge zur Verbesserung wirtschaftsbezogener Standortbedingungen, insbesondere Ausbau von Einrichtungen für Kinder und Jugendliche, Investitionen in die Gesundheits- und Kultureinrichtungen sowie altersgerechter Umbau und Barriereabbau,</w:t>
      </w:r>
    </w:p>
    <w:p>
      <w:pPr>
        <w:ind w:left="420"/>
      </w:pPr>
      <w:r>
        <w:t xml:space="preserve">4. Städtebau, Stadt- und Regionalentwicklung,</w:t>
      </w:r>
    </w:p>
    <w:p>
      <w:pPr>
        <w:ind w:left="420"/>
      </w:pPr>
      <w:r>
        <w:t xml:space="preserve">5. Digitalisierung, Breitband- und Mobilfunkinfrastruktur,</w:t>
      </w:r>
    </w:p>
    <w:p>
      <w:pPr>
        <w:ind w:left="420"/>
      </w:pPr>
      <w:r>
        <w:t xml:space="preserve">6. touristische Infrastruktur,</w:t>
      </w:r>
    </w:p>
    <w:p>
      <w:pPr>
        <w:ind w:left="420"/>
      </w:pPr>
      <w:r>
        <w:t xml:space="preserve">7. Infrastrukturen für Forschung, Innovation und Technologietransfer sowie ergänzende betriebliche Aus- und Weiterbildung,</w:t>
      </w:r>
    </w:p>
    <w:p>
      <w:pPr>
        <w:ind w:left="420"/>
      </w:pPr>
      <w:r>
        <w:t xml:space="preserve">8. Klima- und Umweltschutz einschließlich Investitionen zur energetischen Sanierung von Infrastrukturen, zur Bodensanierung und zum Lärmschutz,</w:t>
      </w:r>
    </w:p>
    <w:p>
      <w:pPr>
        <w:ind w:left="420"/>
      </w:pPr>
      <w:r>
        <w:t xml:space="preserve">9. Naturschutz und Landschaftspflege, insbesondere Maßnahmen zur Renaturierung und Umgestaltung ehemaliger Tagebauflächen sowie zu deren Aufforstung; die Verpflichtungen des Unternehmers nach Bergrecht bleiben unberührt.</w:t>
      </w:r>
    </w:p>
    <w:p>
      <w:r>
        <w:t xml:space="preserve">(2) Die Investitionen nach Absatz 1 sollen insbesondere nach den folgenden Kriterien ausgewählt werden:</w:t>
      </w:r>
    </w:p>
    <w:p>
      <w:pPr>
        <w:ind w:left="420"/>
      </w:pPr>
      <w:r>
        <w:t xml:space="preserve">1. Schaffung und Erhalt von Arbeits- und Ausbildungsplätzen in den Fördergebieten nach § 2 oder</w:t>
      </w:r>
    </w:p>
    <w:p>
      <w:pPr>
        <w:ind w:left="420"/>
      </w:pPr>
      <w:r>
        <w:t xml:space="preserve">2. Diversifizierung der Wirtschaftsstruktur und Verbesserung der Attraktivität des Wirtschaftsstandorts in den Fördergebieten nach § 2.</w:t>
      </w:r>
    </w:p>
    <w:p>
      <w:r>
        <w:t xml:space="preserve">(3) Die geförderten Investitionen sollen auch unter Berücksichtigung künftiger demografischer Entwicklungen nutzbar sein und im Einklang mit den Nachhaltigkeitszielen im Rahmen der Deutschen Nachhaltigkeitsstrategie stehen.</w:t>
      </w:r>
    </w:p>
    <w:p>
      <w:r>
        <w:t xml:space="preserve">(4) Finanzhilfen im Sinne von § 1 Absatz 1 werden nur für zusätzliche Investitionen gewährt. Die Zusätzlichkeit der geförderten Maßnahmen muss vorhabenbezogen gegeben sein.</w:t>
      </w:r>
    </w:p>
    <w:p>
      <w:r>
        <w:rPr>
          <w:color w:val="555555"/>
          <w:sz w:val="17"/>
        </w:rPr>
        <w:t xml:space="preserve">Zitiervorschlag: § 4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