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InvKG — Verteilung</w:t>
      </w:r>
    </w:p>
    <w:p>
      <w:r>
        <w:rPr>
          <w:color w:val="555555"/>
          <w:sz w:val="18"/>
        </w:rPr>
        <w:t xml:space="preserve">Investitionsgesetz Kohleregionen</w:t>
      </w:r>
    </w:p>
    <w:p>
      <w:r>
        <w:rPr>
          <w:color w:val="555555"/>
          <w:sz w:val="18"/>
        </w:rPr>
        <w:t xml:space="preserve">Stand: 14.08.2020 (konsolidierte Textfassung, kein amtliches Inkrafttretensdatum)</w:t>
      </w:r>
    </w:p>
    <w:p>
      <w:r>
        <w:t xml:space="preserve">(1) Der in § 1 Absatz 1 festgelegte Betrag verteilt sich wie folgt:</w:t>
      </w:r>
    </w:p>
    <w:p>
      <w:pPr>
        <w:ind w:left="420"/>
      </w:pPr>
      <w:r>
        <w:t xml:space="preserve">1. 43 Prozent für das Lausitzer Revier, davon</w:t>
      </w:r>
    </w:p>
    <w:p>
      <w:pPr>
        <w:ind w:left="780"/>
      </w:pPr>
      <w:r>
        <w:t xml:space="preserve">a) 60 Prozent für Brandenburg und</w:t>
      </w:r>
    </w:p>
    <w:p>
      <w:pPr>
        <w:ind w:left="780"/>
      </w:pPr>
      <w:r>
        <w:t xml:space="preserve">b) 40 Prozent für den Freistaat Sachsen,</w:t>
      </w:r>
    </w:p>
    <w:p>
      <w:pPr>
        <w:ind w:left="420"/>
      </w:pPr>
      <w:r>
        <w:t xml:space="preserve">2. 37 Prozent für das Rheinische Revier und</w:t>
      </w:r>
    </w:p>
    <w:p>
      <w:pPr>
        <w:ind w:left="420"/>
      </w:pPr>
      <w:r>
        <w:t xml:space="preserve">3. 20 Prozent für das Mitteldeutsche Revier, davon</w:t>
      </w:r>
    </w:p>
    <w:p>
      <w:pPr>
        <w:ind w:left="780"/>
      </w:pPr>
      <w:r>
        <w:t xml:space="preserve">a) 60 Prozent für Sachsen-Anhalt und</w:t>
      </w:r>
    </w:p>
    <w:p>
      <w:pPr>
        <w:ind w:left="780"/>
      </w:pPr>
      <w:r>
        <w:t xml:space="preserve">b) 40 Prozent für den Freistaat Sachsen.</w:t>
      </w:r>
    </w:p>
    <w:p>
      <w:r>
        <w:t xml:space="preserve">(2) Daraus ergibt sich die folgende Verteilung nach Ländern:</w:t>
      </w:r>
    </w:p>
    <w:p>
      <w:pPr>
        <w:ind w:left="420"/>
      </w:pPr>
      <w:r>
        <w:t xml:space="preserve">1. 25,8 Prozent für Brandenburg,</w:t>
      </w:r>
    </w:p>
    <w:p>
      <w:pPr>
        <w:ind w:left="420"/>
      </w:pPr>
      <w:r>
        <w:t xml:space="preserve">2. 37 Prozent für Nordrhein-Westfalen,</w:t>
      </w:r>
    </w:p>
    <w:p>
      <w:pPr>
        <w:ind w:left="420"/>
      </w:pPr>
      <w:r>
        <w:t xml:space="preserve">3. 25,2 Prozent für den Freistaat Sachsen sowie</w:t>
      </w:r>
    </w:p>
    <w:p>
      <w:pPr>
        <w:ind w:left="420"/>
      </w:pPr>
      <w:r>
        <w:t xml:space="preserve">4. 12 Prozent für Sachsen-Anhalt.</w:t>
      </w:r>
    </w:p>
    <w:p>
      <w:r>
        <w:rPr>
          <w:color w:val="555555"/>
          <w:sz w:val="17"/>
        </w:rPr>
        <w:t xml:space="preserve">Zitiervorschlag: § 3 InvKG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https://recht.nulegal.eu/gesetze/InvKG/3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