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InvKG — Finanzierung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(1) Die Maßnahmen nach den Kapiteln 1 bis 4 werden im jeweiligen Haushaltsverfahren bedarfsgerecht veranschlagt. Dabei wird die Bundesregierung eine überjährige Verwendbarkeit der Mittel sicherstellen.</w:t>
      </w:r>
    </w:p>
    <w:p>
      <w:r>
        <w:t xml:space="preserve">(2) Die Maßnahmen nach den Kapiteln 3 und 4 werden in einem Umfang von bis zu 26 Milliarden Euro bis zum Jahr 2038 realisiert. § 3 ist entsprechend anzuwenden.</w:t>
      </w:r>
    </w:p>
    <w:p>
      <w:r>
        <w:rPr>
          <w:color w:val="555555"/>
          <w:sz w:val="17"/>
        </w:rPr>
        <w:t xml:space="preserve">Zitiervorschlag: § 27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