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InvKG — Bund-Länder-Koordinierungsgremium</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Die Bundesregierung und die Regierungen der Länder Brandenburg, Nordrhein-Westfalen, Freistaat Sachsen und Sachsen-Anhalt bilden ein Koordinierungsgremium. Dieses begleitet und unterstützt die Bundesregierung und die Regierungen der Länder bei der Durchführung und Umsetzung der Maßnahmen insbesondere nach § 4 und stellt den Projektfluss sicher. Es prüft die Umsetzung entsprechend den Leitbildern, Förderzielen und Förderbereichen. Hierzu analysiert es aktuelle Entwicklungen, berichtet und empfiehlt bei Bedarf entsprechende Anpassungen. Die Empfehlungen sind nicht bindend. Das Koordinierungsgremium ist für die in den Kapiteln 1, 3 und 4 genannten Förderbereiche zuständig.</w:t>
      </w:r>
    </w:p>
    <w:p>
      <w:r>
        <w:t xml:space="preserve">(2) Das Koordinierungsgremium ist besetzt mit der fachlich zuständigen Vertreterin oder dem fachlich zuständigen Vertreter (Vertretung) auf Staatssekretärsebene des Bundesministeriums für Wirtschaft und Energie, des Bundesministeriums der Finanzen, des Bundesministeriums des Innern, des Bundesministeriums für Verkehr, des Bundesministeriums für Forschung, Technologie und Raumfahrt, des Bundesministeriums für Umwelt, Klimaschutz, Naturschutz und nukleare Sicherheit, des Bundesministeriums für Arbeit und Soziales, des Bundesministeriums für Landwirtschaft, Ernährung und Heimat sowie einer Vertretung für jedes Land nach § 1 Absatz 1 Satz 1. Die Vertretung des Bundesministeriums für Wirtschaft und Energie nach Satz 1 übt den Vorsitz aus. Jedes Mitglied kann sich vertreten lassen. Das Koordinierungsgremium kann bei Bedarf weitere Ressorts und Bundesbehörden sowie die für die Regionalentwicklung maßgeblichen Akteure und Sozialpartner beratend hinzuziehen.</w:t>
      </w:r>
    </w:p>
    <w:p>
      <w:r>
        <w:t xml:space="preserve">(3) Jedes Land hat eine Stimme. Das Koordinierungsgremium beschließt mit der Stimme des Bundes und mindestens der Hälfte der Stimmen der Länder.</w:t>
      </w:r>
    </w:p>
    <w:p>
      <w:r>
        <w:t xml:space="preserve">(4) Das Koordinierungsgremium gibt sich eine Geschäftsordnung.</w:t>
      </w:r>
    </w:p>
    <w:p>
      <w:r>
        <w:rPr>
          <w:color w:val="555555"/>
          <w:sz w:val="17"/>
        </w:rPr>
        <w:t xml:space="preserve">Zitiervorschlag: § 25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