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InvKG — Zusätzliche Investitionen in die Bundesschienenwege</w:t>
      </w:r>
    </w:p>
    <w:p>
      <w:r>
        <w:rPr>
          <w:color w:val="555555"/>
          <w:sz w:val="18"/>
        </w:rPr>
        <w:t xml:space="preserve">Investitionsgesetz Kohleregionen</w:t>
      </w:r>
    </w:p>
    <w:p>
      <w:r>
        <w:rPr>
          <w:color w:val="555555"/>
          <w:sz w:val="18"/>
        </w:rPr>
        <w:t xml:space="preserve">Stand: 14.08.2020 (konsolidierte Textfassung, kein amtliches Inkrafttretensdatum)</w:t>
      </w:r>
    </w:p>
    <w:p>
      <w:r>
        <w:t xml:space="preserve">(1) Zur Förderung der Gebiete nach § 2 werden ergänzend zu den Vorhaben der Anlage des Bundesschienenwegeausbaugesetzes vom 15. November 1993 (BGBl. I S. 1874), das zuletzt durch Artikel 1 des Gesetzes vom 23. Dezember 2016 (BGBl. I S. 3221) geändert worden ist, die in Anlage 4 Abschnitt 2 enthaltenen Schieneninfrastrukturen zusätzlich ausgebaut.</w:t>
      </w:r>
    </w:p>
    <w:p>
      <w:r>
        <w:t xml:space="preserve">(2) Es besteht Bedarf für die in Absatz 1 genannten Projekte. Der verkehrliche und volkswirtschaftliche Nutzen der Projekte ist aus Gründen der Strukturförderung gegeben. Die Feststellung des Bedarfs ist für die Planfeststellung verbindlich. Die §§ 8 bis 11 des Bundesschienenwegeausbaugesetzes sind sinngemäß anzuwenden.</w:t>
      </w:r>
    </w:p>
    <w:p>
      <w:r>
        <w:rPr>
          <w:color w:val="555555"/>
          <w:sz w:val="17"/>
        </w:rPr>
        <w:t xml:space="preserve">Zitiervorschlag: § 21 InvKG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https://recht.nulegal.eu/gesetze/InvKG/21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