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InvKG — Bundesförderprogramm</w:t>
      </w:r>
    </w:p>
    <w:p>
      <w:r>
        <w:rPr>
          <w:color w:val="555555"/>
          <w:sz w:val="18"/>
        </w:rPr>
        <w:t xml:space="preserve">Investitionsgesetz Kohleregionen</w:t>
      </w:r>
    </w:p>
    <w:p>
      <w:r>
        <w:rPr>
          <w:color w:val="555555"/>
          <w:sz w:val="18"/>
        </w:rPr>
        <w:t xml:space="preserve">Stand: 24.07.2026 (konsolidierte Textfassung, kein amtliches Inkrafttretensdatum)</w:t>
      </w:r>
    </w:p>
    <w:p>
      <w:r>
        <w:t xml:space="preserve">(1) Das Bundesministerium für Wirtschaft und Energie wird unter Einhaltung des europäischen Beihilfenrechts ein Bundesförderprogramm auflegen. Das Programm unterstützt Projekte, die dazu beitragen, die in den §§ 2, 11 und 12 genannten Gemeinden und Gemeindeverbände zu bundesweiten Modellregionen einer treibhausgasneutralen, ressourceneffizienten und nachhaltigen Entwicklung zu wandeln. Die Länder sind verpflichtet, Begleitgremien unter Beteiligung der für die Regionalentwicklung maßgeblichen Akteure und der Sozialpartner einzurichten. Die Einzelheiten, wie dies durch das Bundesprogramm unterstützt werden kann, werden durch eine Förderrichtlinie des Bundesministeriums für Wirtschaft und Energie geregelt.</w:t>
      </w:r>
    </w:p>
    <w:p>
      <w:r>
        <w:t xml:space="preserve">(2) Im Rahmen des Förderprogramms werden auch lokale Bündnisse zwischen Gemeinden und Sozialpartnern, insbesondere Revierbegleitausschüsse, gefördert, die bei der Erarbeitung und Umsetzung der regionalen Entwicklungspläne und -maßnahmen eingebunden werden.</w:t>
      </w:r>
    </w:p>
    <w:p>
      <w:r>
        <w:rPr>
          <w:color w:val="555555"/>
          <w:sz w:val="17"/>
        </w:rPr>
        <w:t xml:space="preserve">Zitiervorschlag: § 15 InvKG</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