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InvKG — Förderfähige Gemeinden und Gemeindeverbände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(1) In folgenden Gemeinden und Gemeindeverbänden als strukturschwache Standorte von Steinkohlekraftwerken, an denen der Steinkohlesektor eine erhebliche wirtschaftliche Relevanz besitzt, können Strukturhilfemaßnahmen gefördert werden:</w:t>
      </w:r>
    </w:p>
    <w:p>
      <w:pPr>
        <w:ind w:left="420"/>
      </w:pPr>
      <w:r>
        <w:t xml:space="preserve">1. Stadt Wilhelmshaven,</w:t>
      </w:r>
    </w:p>
    <w:p>
      <w:pPr>
        <w:ind w:left="420"/>
      </w:pPr>
      <w:r>
        <w:t xml:space="preserve">2. Kreis Unna,</w:t>
      </w:r>
    </w:p>
    <w:p>
      <w:pPr>
        <w:ind w:left="420"/>
      </w:pPr>
      <w:r>
        <w:t xml:space="preserve">3. Stadt Hamm,</w:t>
      </w:r>
    </w:p>
    <w:p>
      <w:pPr>
        <w:ind w:left="420"/>
      </w:pPr>
      <w:r>
        <w:t xml:space="preserve">4. Stadt Herne,</w:t>
      </w:r>
    </w:p>
    <w:p>
      <w:pPr>
        <w:ind w:left="420"/>
      </w:pPr>
      <w:r>
        <w:t xml:space="preserve">5. Stadt Duisburg,</w:t>
      </w:r>
    </w:p>
    <w:p>
      <w:pPr>
        <w:ind w:left="420"/>
      </w:pPr>
      <w:r>
        <w:t xml:space="preserve">6. Stadt Gelsenkirchen,</w:t>
      </w:r>
    </w:p>
    <w:p>
      <w:pPr>
        <w:ind w:left="420"/>
      </w:pPr>
      <w:r>
        <w:t xml:space="preserve">7. Stadt Rostock und Landkreis Rostock,</w:t>
      </w:r>
    </w:p>
    <w:p>
      <w:pPr>
        <w:ind w:left="420"/>
      </w:pPr>
      <w:r>
        <w:t xml:space="preserve">8. Landkreis Saarlouis und</w:t>
      </w:r>
    </w:p>
    <w:p>
      <w:pPr>
        <w:ind w:left="420"/>
      </w:pPr>
      <w:r>
        <w:t xml:space="preserve">9. Regionalverband Saarbrücken.</w:t>
      </w:r>
    </w:p>
    <w:p>
      <w:r>
        <w:t xml:space="preserve">(2) Strukturhilfemaßnahmen in den unmittelbar an die Fördergebiete gemäß Absatz 1 angrenzenden Gemeinden und Gemeindeverbänden können gefördert werden, sofern diese Maßnahmen geeignet sind, die Förderziele gemäß § 11 in den Gemeinden und Gemeindeverbänden gemäß Absatz 1 zu erreichen und im Einvernehmen mit diesen Gemeinden oder Gemeindeverbänden durchgeführt werden.</w:t>
      </w:r>
    </w:p>
    <w:p>
      <w:r>
        <w:rPr>
          <w:color w:val="555555"/>
          <w:sz w:val="17"/>
        </w:rPr>
        <w:t xml:space="preserve">Zitiervorschlag: § 12 InvKG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