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InvKG — Verwaltungsvereinbarung</w:t>
      </w:r>
    </w:p>
    <w:p>
      <w:r>
        <w:rPr>
          <w:color w:val="555555"/>
          <w:sz w:val="18"/>
        </w:rPr>
        <w:t xml:space="preserve">Investitionsgesetz Kohleregionen</w:t>
      </w:r>
    </w:p>
    <w:p>
      <w:r>
        <w:rPr>
          <w:color w:val="555555"/>
          <w:sz w:val="18"/>
        </w:rPr>
        <w:t xml:space="preserve">Stand: 14.08.2020 (konsolidierte Textfassung, kein amtliches Inkrafttretensdatum)</w:t>
      </w:r>
    </w:p>
    <w:p>
      <w:r>
        <w:t xml:space="preserve">Die Einzelheiten des Verfahrens zur Gewährung der Finanzhilfen nach diesem Kapitel werden durch eine Verwaltungsvereinbarung geregelt, die der zustimmenden Kenntnisnahme des Haushaltsausschusses und des Ausschusses für Wirtschaft und Energie des Deutschen Bundestages bedarf. Die Inanspruchnahme der Finanzhilfen ist an das Inkrafttreten der Verwaltungsvereinbarung gebunden.</w:t>
      </w:r>
    </w:p>
    <w:p>
      <w:r>
        <w:rPr>
          <w:color w:val="555555"/>
          <w:sz w:val="17"/>
        </w:rPr>
        <w:t xml:space="preserve">Zitiervorschlag: § 10 InvKG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https://recht.nulegal.eu/gesetze/InvKG/10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