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InvKG — Förderziele, Fördervolumen und Leitbilder</w:t>
      </w:r>
    </w:p>
    <w:p>
      <w:r>
        <w:rPr>
          <w:color w:val="555555"/>
          <w:sz w:val="18"/>
        </w:rPr>
        <w:t xml:space="preserve">Investitionsgesetz Kohleregionen</w:t>
      </w:r>
    </w:p>
    <w:p>
      <w:r>
        <w:rPr>
          <w:color w:val="555555"/>
          <w:sz w:val="18"/>
        </w:rPr>
        <w:t xml:space="preserve">Stand: 24.07.2026 (konsolidierte Textfassung, kein amtliches Inkrafttretensdatum)</w:t>
      </w:r>
    </w:p>
    <w:p>
      <w:r>
        <w:t xml:space="preserve">(1) Zum Ausgleich unterschiedlicher Wirtschaftskraft und zur Förderung des wirtschaftlichen Wachstums unterstützt der Bund die Länder Brandenburg und Nordrhein-Westfalen, den Freistaat Sachsen und das Land Sachsen-Anhalt in den Fördergebieten nach § 2. Hierzu gewährt der Bund diesen Ländern nach Maßgabe des § 27 Finanzhilfen für besonders bedeutsame Investitionen der Länder und ihrer Gemeinden und Gemeindeverbände nach Artikel 104b Absatz 1 Nummer 2 und 3 des Grundgesetzes in Höhe von bis zu 14 Milliarden Euro, längstens bis 2038.</w:t>
      </w:r>
    </w:p>
    <w:p>
      <w:r>
        <w:t xml:space="preserve">(2) Die Finanzhilfen dienen im Rahmen der Förderziele nach Absatz 1 insbesondere der Bewältigung des Strukturwandels und der Sicherung der Beschäftigung im Zuge des Ausstiegs aus dem Braunkohleabbau und der Verstromung von Braunkohle.</w:t>
      </w:r>
    </w:p>
    <w:p>
      <w:r>
        <w:t xml:space="preserve">(3) Die Länder haben sich für die Fördergebiete nach § 2 Leitbilder nach den Anlagen 1 bis 3 gegeben, die sich auf eine nachhaltige Entwicklung in einem umfassenden ökonomischen, ökologischen und sozialen Verständnis beziehen. Die Leitbilder beschreiben in Umsetzung der Förderziele nach den Absätzen 1 und 2 Ansatzpunkte für die regionale Entwicklung und die Verwendung der Finanzhilfen. Sie können im Einvernehmen mit dem Bundesministerium für Wirtschaft und Energie weiterentwickelt und an die Strukturentwicklung der Reviere angepasst werden.</w:t>
      </w:r>
    </w:p>
    <w:p>
      <w:r>
        <w:t xml:space="preserve">(4) Die Förderziele nach den Absätzen 1 und 2 sind auch für die Maßnahmen der Kapitel 3 und 4 maßgebend.</w:t>
      </w:r>
    </w:p>
    <w:p>
      <w:r>
        <w:rPr>
          <w:color w:val="555555"/>
          <w:sz w:val="17"/>
        </w:rPr>
        <w:t xml:space="preserve">Zitiervorschlag: § 1 InvKG</w:t>
      </w:r>
    </w:p>
    <w:p>
      <w:r>
        <w:rPr>
          <w:color w:val="555555"/>
          <w:sz w:val="17"/>
        </w:rPr>
        <w:t xml:space="preserve">Quelle: Bundesamt für Justiz, abgerufen 24.07.2026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https://recht.nulegal.eu/gesetze/InvKG/1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