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InvHSG</w:t>
      </w:r>
    </w:p>
    <w:p>
      <w:r>
        <w:rPr>
          <w:color w:val="555555"/>
          <w:sz w:val="18"/>
        </w:rPr>
        <w:t xml:space="preserve">Investitionshilfe-Schlußgesetz</w:t>
      </w:r>
    </w:p>
    <w:p>
      <w:r>
        <w:rPr>
          <w:color w:val="555555"/>
          <w:sz w:val="18"/>
        </w:rPr>
        <w:t xml:space="preserve">Stand: 10.06.2019 (konsolidierte Textfassung, kein amtliches Inkrafttretensdatum)</w:t>
      </w:r>
    </w:p>
    <w:p>
      <w:r>
        <w:t xml:space="preserve">Bei den Zinsen aus den nach § 31 des Investitionshilfegesetzes auszugebenden und aus den in § 6 Abs. 1 bezeichneten Schuldverschreibungen wird die Einkommensteuer (Körperschaftsteuer) durch Abzug von Kapitalertrag (Kapitalertragsteuer) erhoben, wenn die Voraussetzungen des § 43 Abs. 1 Ziff. 5 Buchstaben a bis c des Einkommensteuergesetzes in der Fassung vom 15. September 1953 (Bundesgesetzbl. I S. 1355) erfüllt sind. Die Kapitalertragsteuer beträgt dreißig vom Hundert der Zinsen. Durch den Steuerabzug sind die Einkommensteuer (Körperschaftsteuer), die Abgabe "Notopfer Berlin" und die Gewerbeertragsteuer abgegolten, wenn die Haftung des Steuerpflichtigen erloschen ist. § 44 Abs. 3 bis 5 und § 46a Satz 2 und 3 des Einkommensteuergesetzes und § 20 Satz 2 des Körperschaftsteuergesetzes in der Fassung vom 13. April 1954 (Bundesgesetzbl. I S. 97) sind entsprechend anzuwenden.</w:t>
      </w:r>
    </w:p>
    <w:p>
      <w:r>
        <w:rPr>
          <w:color w:val="555555"/>
          <w:sz w:val="17"/>
        </w:rPr>
        <w:t xml:space="preserve">Zitiervorschlag: § 7 InvHSG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https://recht.nulegal.eu/gesetze/InvHSG/7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