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InvHSG</w:t>
      </w:r>
    </w:p>
    <w:p>
      <w:r>
        <w:rPr>
          <w:color w:val="555555"/>
          <w:sz w:val="18"/>
        </w:rPr>
        <w:t xml:space="preserve">Investitionshilfe-Schlußgesetz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gezahlten Aufbringungsbeträge eine Milliarde Deutsche Mark übersteigen, sind sie von dem Sondervermögen (§ 23 Abs. 1 des Investitionshilfegesetzes) in Abweichung von §§ 29, 30 des Investitionshilfegesetzes zur Zeichnung von Schuldverschreibungen zu verwenden, die das Kreditinstitut (§ 5 Abs. 1 des Investitionshilfegesetzes) unbeschadet seiner sich aus § 31 des Investitionshilfegesetzes ergebenden Verpflichtung auszugeben hat; für die Ausstattung der Schuldverschreibungen gilt § 31 Abs. 1 Satz 1 des Investitionshilfegesetzes sinngemäß.</w:t>
      </w:r>
    </w:p>
    <w:p>
      <w:r>
        <w:t xml:space="preserve">(2) und (3)</w:t>
      </w:r>
    </w:p>
    <w:p>
      <w:r>
        <w:rPr>
          <w:color w:val="555555"/>
          <w:sz w:val="17"/>
        </w:rPr>
        <w:t xml:space="preserve">Zitiervorschlag: § 6 InvHSG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https://recht.nulegal.eu/gesetze/InvHSG/6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