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IntermErsAufwV — Kostenersatz für Aufwendungen für die Übermittlung von Informationen an die Aktionäre außerhalb von § 4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Übermittelt ein Letztintermediär Informationen nach § 67b Absatz 1 des Aktiengesetzes, so kann er von der börsennotierten Gesellschaft, soweit es sich nicht um die Information über die Ausschüttung einer Bardividende handelt, als Ersatz der notwendigen Aufwendungen folgende Beträge verlangen:</w:t>
      </w:r>
    </w:p>
    <w:p>
      <w:pPr>
        <w:ind w:left="420"/>
      </w:pPr>
      <w:r>
        <w:t xml:space="preserve">1. für jedes Unternehmensereignis eine Pauschale von 200 Euro;</w:t>
      </w:r>
    </w:p>
    <w:p>
      <w:pPr>
        <w:ind w:left="420"/>
      </w:pPr>
      <w:r>
        <w:t xml:space="preserve">2. für jede elektronische Mitteilung 0,10 Euro.</w:t>
      </w:r>
    </w:p>
    <w:p>
      <w:r>
        <w:t xml:space="preserve">(2) Der Begriff des Unternehmensereignisses wird durch § 67a Absatz 6 des Aktiengesetzes definiert.</w:t>
      </w:r>
    </w:p>
    <w:p>
      <w:r>
        <w:rPr>
          <w:color w:val="555555"/>
          <w:sz w:val="17"/>
        </w:rPr>
        <w:t xml:space="preserve">Zitiervorschlag: § 3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