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IntermErsAufwV — Ersatz der Umsatzsteuer</w:t>
      </w:r>
    </w:p>
    <w:p>
      <w:r>
        <w:rPr>
          <w:color w:val="555555"/>
          <w:sz w:val="18"/>
        </w:rPr>
        <w:t xml:space="preserve">Intermediäre-Aufwendungsersatz-Verordnung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Der Intermediär hat Anspruch auf Ersatz der Umsatzsteuer, die auf seinen Kostenersatz gemäß den §§ 3 bis 10 entfällt.</w:t>
      </w:r>
    </w:p>
    <w:p>
      <w:r>
        <w:rPr>
          <w:color w:val="555555"/>
          <w:sz w:val="17"/>
        </w:rPr>
        <w:t xml:space="preserve">Zitiervorschlag: § 11 IntermErsAufwV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https://recht.nulegal.eu/gesetze/IntermErsAufwV/11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