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IntermErsAufwV — Anwendungsbereich</w:t>
      </w:r>
    </w:p>
    <w:p>
      <w:r>
        <w:rPr>
          <w:color w:val="555555"/>
          <w:sz w:val="18"/>
        </w:rPr>
        <w:t xml:space="preserve">Intermediäre-Aufwendungsersatz-Verordnung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Diese Verordnung regelt die Einzelheiten für den Ersatz von notwendigen Aufwendungen der Intermediäre durch Emittenten von Aktien (Gesellschaften) mit Sitz im Inland für die folgenden Handlungen</w:t>
      </w:r>
    </w:p>
    <w:p>
      <w:pPr>
        <w:ind w:left="420"/>
      </w:pPr>
      <w:r>
        <w:t xml:space="preserve">1. die Übermittlung der Angaben gemäß § 67 Absatz 4 des Aktiengesetzes,</w:t>
      </w:r>
    </w:p>
    <w:p>
      <w:pPr>
        <w:ind w:left="420"/>
      </w:pPr>
      <w:r>
        <w:t xml:space="preserve">2. die Übermittlung und Weiterleitung von Informationen und Mitteilungen gemäß den §§ 67a bis 67d, 118 Absatz 1 Satz 3 bis 5 sowie Absatz 2 Satz 2, § 118a Absatz 1 Satz 4 und § 129 Absatz 5 des Aktiengesetzes und</w:t>
      </w:r>
    </w:p>
    <w:p>
      <w:pPr>
        <w:ind w:left="420"/>
      </w:pPr>
      <w:r>
        <w:t xml:space="preserve">3. die Vervielfältigung, Übermittlung und Weiterleitung der Mitteilungen gemäß § 125 Absatz 1, 2 und 5 in Verbindung mit den §§ 67a und 67b des Aktiengesetzes.</w:t>
      </w:r>
    </w:p>
    <w:p>
      <w:r>
        <w:rPr>
          <w:color w:val="555555"/>
          <w:sz w:val="17"/>
        </w:rPr>
        <w:t xml:space="preserve">Zitiervorschlag: § 1 IntermErsAufwV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https://recht.nulegal.eu/gesetze/IntermErsAufwV/1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