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IntZLuftAbkProtG</w:t>
      </w:r>
    </w:p>
    <w:p>
      <w:r>
        <w:rPr>
          <w:color w:val="555555"/>
          <w:sz w:val="18"/>
        </w:rPr>
        <w:t xml:space="preserve">Gesetz zu dem Protokoll vom 10. Mai 1984 zur Änderung des Abkommens vom 7. Dezember 1944 über die Internationale Zivilluftfahrt (9. Änderung des Abkommens über die Internationale Zivilluftfahrt)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Führer eines zivilen Luftfahrzeugs hat Anweisungen einer ausländischen Stelle zu befolgen, die diese ihm in Wahrnehmung ihrer Lufthoheit nach Artikel 3bis des Abkommens über die Internationale Zivilluftfahrt erteilt.</w:t>
      </w:r>
    </w:p>
    <w:p>
      <w:r>
        <w:t xml:space="preserve">(2) Ordnungswidrig handelt, wer entgegen Absatz 1 eine Anweisung nicht, nicht richtig oder nicht rechtzeitig befolgt. Die Ordnungswidrigkeit kann mit einer Geldbuße bis zu zehntausend Deutsche Mark geahndet werden. Verwaltungsbehörde im Sinne des § 36 Abs. 1 Nr. 1 des Gesetzes über Ordnungswidrigkeiten ist das Luftfahrt-Bundesamt.</w:t>
      </w:r>
    </w:p>
    <w:p>
      <w:r>
        <w:rPr>
          <w:color w:val="555555"/>
          <w:sz w:val="17"/>
        </w:rPr>
        <w:t xml:space="preserve">Zitiervorschlag: Art 2 IntZLuftAbkProtG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https://recht.nulegal.eu/gesetze/IntZLuftAbkProtG/2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