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IntVG — Notbremsemechanismus</w:t>
      </w:r>
    </w:p>
    <w:p>
      <w:r>
        <w:rPr>
          <w:color w:val="555555"/>
          <w:sz w:val="18"/>
        </w:rPr>
        <w:t xml:space="preserve">Integrationsverantwortungsgesetz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deutsche Vertreter im Rat muss in den Fällen des Artikels 48 Absatz 2 Satz 1, des Artikels 82 Absatz 3 Unterabsatz 1 Satz 1 und des Artikels 83 Absatz 3 Unterabsatz 1 Satz 1 des Vertrags über die Arbeitsweise der Europäischen Union beantragen, den Europäischen Rat zu befassen, wenn der Bundestag ihn hierzu durch einen Beschluss angewiesen hat.</w:t>
      </w:r>
    </w:p>
    <w:p>
      <w:r>
        <w:t xml:space="preserve">(2) Wenn im Schwerpunkt Gebiete im Sinne des § 5 Absatz 2 betroffen sind, muss der deutsche Vertreter im Rat einen Antrag nach Absatz 1 auch dann stellen, wenn ein entsprechender Beschluss des Bundesrates vorliegt.</w:t>
      </w:r>
    </w:p>
    <w:p>
      <w:r>
        <w:rPr>
          <w:color w:val="555555"/>
          <w:sz w:val="17"/>
        </w:rPr>
        <w:t xml:space="preserve">Zitiervorschlag: § 9 IntVG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