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IntVG — Kompetenzerweiterungsklauseln</w:t>
      </w:r>
    </w:p>
    <w:p>
      <w:r>
        <w:rPr>
          <w:color w:val="555555"/>
          <w:sz w:val="18"/>
        </w:rPr>
        <w:t xml:space="preserve">Integrationsverantwortungsgesetz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deutsche Vertreter im Rat darf einem Beschlussvorschlag gemäß Artikel 83 Absatz 1 Unterabsatz 3 oder Artikel 86 Absatz 4 des Vertrags über die Arbeitsweise der Europäischen Union nur zustimmen oder sich bei einer Beschlussfassung enthalten, nachdem hierzu ein Gesetz gemäß Artikel 23 Absatz 1 des Grundgesetzes in Kraft getreten ist. Ohne ein solches Gesetz muss der deutsche Vertreter im Rat den Beschlussvorschlag ablehnen.</w:t>
      </w:r>
    </w:p>
    <w:p>
      <w:r>
        <w:t xml:space="preserve">(2) Absatz 1 gilt entsprechend für Satzungsänderungen gemäß Artikel 308 Absatz 3 des Vertrags über die Arbeitsweise der Europäischen Union.</w:t>
      </w:r>
    </w:p>
    <w:p>
      <w:r>
        <w:rPr>
          <w:color w:val="555555"/>
          <w:sz w:val="17"/>
        </w:rPr>
        <w:t xml:space="preserve">Zitiervorschlag: § 7 IntVG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