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IntVG — Vereinfachtes Vertragsänderungsverfahren</w:t>
      </w:r>
    </w:p>
    <w:p>
      <w:r>
        <w:rPr>
          <w:color w:val="555555"/>
          <w:sz w:val="18"/>
        </w:rPr>
        <w:t xml:space="preserve">Integrationsverantwortungsgesetz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Zustimmung der Bundesrepublik Deutschland zu einem Beschluss des Europäischen Rates gemäß Artikel 48 Absatz 6 Unterabsatz 2 und 3 des Vertrags über die Europäische Union erfolgt durch ein Gesetz gemäß Artikel 23 Absatz 1 des Grundgesetzes.</w:t>
      </w:r>
    </w:p>
    <w:p>
      <w:r>
        <w:rPr>
          <w:color w:val="555555"/>
          <w:sz w:val="17"/>
        </w:rPr>
        <w:t xml:space="preserve">Zitiervorschlag: § 2 IntVG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https://recht.nulegal.eu/gesetze/IntVG/2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