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IntVG — Subsidiaritätsrüge</w:t>
      </w:r>
    </w:p>
    <w:p>
      <w:r>
        <w:rPr>
          <w:color w:val="555555"/>
          <w:sz w:val="18"/>
        </w:rPr>
        <w:t xml:space="preserve">Integrationsverantwortungsgesetz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Bundestag und der Bundesrat können in ihren Geschäftsordnungen regeln, wie eine Entscheidung über die Abgabe einer begründeten Stellungnahme gemäß Artikel 6 des Protokolls über die Anwendung der Grundsätze der Subsidiarität und der Verhältnismäßigkeit herbeizuführen ist.</w:t>
      </w:r>
    </w:p>
    <w:p>
      <w:r>
        <w:t xml:space="preserve">(2) Der Präsident des Bundestages oder der Präsident des Bundesrates übermittelt die begründete Stellungnahme an die Präsidenten der zuständigen Organe der Europäischen Union und setzt die Bundesregierung darüber in Kenntnis.</w:t>
      </w:r>
    </w:p>
    <w:p>
      <w:r>
        <w:rPr>
          <w:color w:val="555555"/>
          <w:sz w:val="17"/>
        </w:rPr>
        <w:t xml:space="preserve">Zitiervorschlag: § 11 IntVG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https://recht.nulegal.eu/gesetze/IntVG/11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