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IntVG — Ablehnungsrecht bei Brückenklauseln</w:t>
      </w:r>
    </w:p>
    <w:p>
      <w:r>
        <w:rPr>
          <w:color w:val="555555"/>
          <w:sz w:val="18"/>
        </w:rPr>
        <w:t xml:space="preserve">Integrationsverantwortungsgesetz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Ablehnung einer Initiative des Europäischen Rates gemäß Artikel 48 Absatz 7 Unterabsatz 3 des Vertrags über die Europäische Union gilt:</w:t>
      </w:r>
    </w:p>
    <w:p>
      <w:pPr>
        <w:ind w:left="420"/>
      </w:pPr>
      <w:r>
        <w:t xml:space="preserve">1. Wenn bei einer Initiative im Schwerpunkt ausschließliche Gesetzgebungszuständigkeiten des Bundes betroffen sind, kann der Bundestag die Ablehnung der Initiative beschließen.</w:t>
      </w:r>
    </w:p>
    <w:p>
      <w:pPr>
        <w:ind w:left="420"/>
      </w:pPr>
      <w:r>
        <w:t xml:space="preserve">2. In allen anderen Fällen kann der Bundestag oder der Bundesrat die Ablehnung der Initiative beschließen.</w:t>
      </w:r>
    </w:p>
    <w:p>
      <w:r>
        <w:t xml:space="preserve">(2) Der Präsident des Bundestages oder der Präsident des Bundesrates unterrichtet die Präsidenten der zuständigen Organe der Europäischen Union über die Ablehnung der Initiative und setzt die Bundesregierung darüber in Kenntnis.</w:t>
      </w:r>
    </w:p>
    <w:p>
      <w:r>
        <w:t xml:space="preserve">(3) Die Absätze 1 und 2 gelten entsprechend für einen Vorschlag der Europäischen Kommission für einen Beschluss des Rates gemäß Artikel 81 Absatz 3 Unterabsatz 3 des Vertrags über die Arbeitsweise der Europäischen Union.</w:t>
      </w:r>
    </w:p>
    <w:p>
      <w:r>
        <w:rPr>
          <w:color w:val="555555"/>
          <w:sz w:val="17"/>
        </w:rPr>
        <w:t xml:space="preserve">Zitiervorschlag: § 10 IntVG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