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IntV — Übergangsregelungen</w:t>
      </w:r>
    </w:p>
    <w:p>
      <w:r>
        <w:rPr>
          <w:color w:val="555555"/>
          <w:sz w:val="18"/>
        </w:rPr>
        <w:t xml:space="preserve">Integrationskursverordnung</w:t>
      </w:r>
    </w:p>
    <w:p>
      <w:r>
        <w:rPr>
          <w:color w:val="555555"/>
          <w:sz w:val="18"/>
        </w:rPr>
        <w:t xml:space="preserve">Stand: 07.12.2024 (konsolidierte Textfassung, kein amtliches Inkrafttretensdatum)</w:t>
      </w:r>
    </w:p>
    <w:p>
      <w:r>
        <w:t xml:space="preserve">(1) § 5 Absatz 3 Satz 4 in der bis zum 31. Januar 2023 geltenden Fassung findet für Zulassungen Anwendung, die bis zum Ablauf des 31. Januar 2023 erteilt wurden.</w:t>
      </w:r>
    </w:p>
    <w:p>
      <w:r>
        <w:t xml:space="preserve">(2) Die dreijährige Frist für die Erstattung von 50 Prozent des Kostenbeitrages gemäß § 9 Absatz 6 Satz 2 gilt für Teilnahmeberechtigte, denen ab dem 1. Februar 2023 erstmals eine Teilnahmeberechtigung ausgestellt wurde.</w:t>
      </w:r>
    </w:p>
    <w:p>
      <w:r>
        <w:t xml:space="preserve">(3) Der Orientierungskurs in Intensivkursen umfasst bei Beginn eines Intensivkurses vor dem 1. Mai 2024 abweichend von § 13 Absatz 2 Satz 3 nur 30 Unterrichtsstunden. Der Intensivkurs umfasst in diesem Fall abweichend von § 13 Absatz 2 Satz 1 insgesamt 430 Unterrichtsstunden.</w:t>
      </w:r>
    </w:p>
    <w:p>
      <w:r>
        <w:t xml:space="preserve">(4) Für Jugendintegrationskurse und Eltern- beziehungsweise Frauenintegrationskurse gemäß § 13 Absatz 1 Satz 3 Nummer 1 und 2 der bis zum 7. Dezember 2024 geltenden Fassung findet § 13 Absatz 1 in der bis zum 7. Dezember 2024 geltenden Fassung Anwendung, sofern die Kurse vor dem 1. Mai 2025 beginnen.</w:t>
      </w:r>
    </w:p>
    <w:p>
      <w:r>
        <w:rPr>
          <w:color w:val="555555"/>
          <w:sz w:val="17"/>
        </w:rPr>
        <w:t xml:space="preserve">Zitiervorschlag: § 22 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