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IntV — Anwendungsbereich der Verordnung</w:t>
      </w:r>
    </w:p>
    <w:p>
      <w:r>
        <w:rPr>
          <w:color w:val="555555"/>
          <w:sz w:val="18"/>
        </w:rPr>
        <w:t xml:space="preserve">Integrationskursverordnung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findet auch Anwendung auf Ausländer, deren Rechtsstellung sich nach dem Freizügigkeitsgesetz/EU bestimmt.</w:t>
      </w:r>
    </w:p>
    <w:p>
      <w:r>
        <w:rPr>
          <w:color w:val="555555"/>
          <w:sz w:val="17"/>
        </w:rPr>
        <w:t xml:space="preserve">Zitiervorschlag: § 2 IntV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