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IntV — Grundstruktur des Integrationskurses</w:t>
      </w:r>
    </w:p>
    <w:p>
      <w:r>
        <w:rPr>
          <w:color w:val="555555"/>
          <w:sz w:val="18"/>
        </w:rPr>
        <w:t xml:space="preserve">Integrationskursverordnung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Integrationskurs umfasst 700 Unterrichtsstunden. Er findet in Deutsch statt und ist in einen Sprachkurs sowie einen Orientierungskurs unterteilt.</w:t>
      </w:r>
    </w:p>
    <w:p>
      <w:r>
        <w:t xml:space="preserve">(2) Das Bundesamt legt die Lerninhalte und Lernziele für die einzelnen Kursabschnitte des Sprachkurses und für den Orientierungskurs fest unter Berücksichtigung der methodisch-didaktischen Erkenntnisse und Erfahrungen bei der Vermittlung von Deutsch als Zweitsprache.</w:t>
      </w:r>
    </w:p>
    <w:p>
      <w:r>
        <w:rPr>
          <w:color w:val="555555"/>
          <w:sz w:val="17"/>
        </w:rPr>
        <w:t xml:space="preserve">Zitiervorschlag: § 10 IntV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