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IntTestV</w:t>
      </w:r>
    </w:p>
    <w:p>
      <w:r>
        <w:rPr>
          <w:color w:val="555555"/>
          <w:sz w:val="18"/>
        </w:rPr>
        <w:t xml:space="preserve">Integrationskurstestverordnung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43 Absatz 4 Satz 2 des Aufenthaltsgesetzes, der durch Artikel 2 des Gesetzes vom 21. Januar 2013 (BGBl. I S. 86) eingefügt worden ist, und des § 10 Absatz 7 des Staatsangehörigkeitsgesetzes, der durch Artikel 5 Nummer 7 Buchstabe c des Gesetzes vom 19. August 2007 (BGBl. I S. 1970) eingefügt worden ist, verordnet das Bundesministerium des Innern:</w:t>
      </w:r>
    </w:p>
    <w:p>
      <w:r>
        <w:rPr>
          <w:color w:val="555555"/>
          <w:sz w:val="17"/>
        </w:rPr>
        <w:t xml:space="preserve">Zitiervorschlag: Eingangsformel IntTestV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https://recht.nulegal.eu/gesetze/IntTestV/eingangsformel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