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IntSchSiHerkStBestV — Inkrafttreten</w:t>
      </w:r>
    </w:p>
    <w:p>
      <w:r>
        <w:rPr>
          <w:color w:val="555555"/>
          <w:sz w:val="18"/>
        </w:rPr>
        <w:t xml:space="preserve">Verordnung zur Bestimmung von sicheren Herkunftsstaaten für den internationalen Schutz</w:t>
      </w:r>
    </w:p>
    <w:p>
      <w:r>
        <w:rPr>
          <w:color w:val="555555"/>
          <w:sz w:val="18"/>
        </w:rPr>
        <w:t xml:space="preserve">Stand: 02.02.2026 (konsolidierte Textfassung, kein amtliches Inkrafttretensdatum)</w:t>
      </w:r>
    </w:p>
    <w:p>
      <w:r>
        <w:t xml:space="preserve">Diese Verordnung tritt am 2. Februar 2026 in Kraft.</w:t>
      </w:r>
    </w:p>
    <w:p>
      <w:r>
        <w:rPr>
          <w:color w:val="555555"/>
          <w:sz w:val="17"/>
        </w:rPr>
        <w:t xml:space="preserve">Zitiervorschlag: § 2 IntSchSiHerkStBestV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https://recht.nulegal.eu/gesetze/IntSchSiHerkStBestV/2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