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IntRaumsÜbkG</w:t>
      </w:r>
    </w:p>
    <w:p>
      <w:r>
        <w:rPr>
          <w:color w:val="555555"/>
          <w:sz w:val="18"/>
        </w:rPr>
        <w:t xml:space="preserve">Raumstations-Übereinkommen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deutsche Strafrecht gilt, unabhängig vom Recht des Tatorts, für Taten, die in oder an einem Flugelement der Raumstation im Weltraum begangen werden, wenn</w:t>
      </w:r>
    </w:p>
    <w:p>
      <w:pPr>
        <w:ind w:left="420"/>
      </w:pPr>
      <w:r>
        <w:t xml:space="preserve">1. der Täter zur Zeit der Tat Deutscher ist oder</w:t>
      </w:r>
    </w:p>
    <w:p>
      <w:pPr>
        <w:ind w:left="420"/>
      </w:pPr>
      <w:r>
        <w:t xml:space="preserve">2. die Tat gegen einen Deutschen begangen wird oder</w:t>
      </w:r>
    </w:p>
    <w:p>
      <w:pPr>
        <w:ind w:left="420"/>
      </w:pPr>
      <w:r>
        <w:t xml:space="preserve">3. sich die Tat gegen ein von der Europäischen Weltraumorganisation registriertes Flugelement richtet.</w:t>
      </w:r>
    </w:p>
    <w:p>
      <w:r>
        <w:rPr>
          <w:color w:val="555555"/>
          <w:sz w:val="17"/>
        </w:rPr>
        <w:t xml:space="preserve">Zitiervorschlag: Art 3 IntRaumsÜbkG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https://recht.nulegal.eu/gesetze/IntRaums%C3%9CbkG/3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