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XI § 5 IntPatÜbkG</w:t>
      </w:r>
    </w:p>
    <w:p>
      <w:r>
        <w:rPr>
          <w:color w:val="555555"/>
          <w:sz w:val="18"/>
        </w:rPr>
        <w:t xml:space="preserve">Gesetz über internationale Patentübereinkommen</w:t>
      </w:r>
    </w:p>
    <w:p>
      <w:r>
        <w:rPr>
          <w:color w:val="555555"/>
          <w:sz w:val="18"/>
        </w:rPr>
        <w:t xml:space="preserve">Stand: 04.07.2023 (konsolidierte Textfassung, kein amtliches Inkrafttretensdatum)</w:t>
      </w:r>
    </w:p>
    <w:p>
      <w:r>
        <w:t xml:space="preserve">Artikel II §§ 8 und 18 in der ab dem Inkrafttreten nach Artikel 3 Absatz 2 des Gesetzes zur Anpassung patentrechtlicher Vorschriften auf Grund der europäischen Patentreform vom 20. August 2021 (BGBl. I S. 3914) geltenden Fassung gilt nur für nationale Patente, deren Erteilung ab dem Tag des Inkrafttretens im Patentblatt veröffentlicht worden ist. Für die nationalen Patente, deren Erteilung vor dem Tag des Inkrafttretens nach Satz 1 im Patentblatt veröffentlicht worden ist, gilt Artikel II § 8 in der bis zum Inkrafttreten nach Satz 1 geltenden Fassung.</w:t>
      </w:r>
    </w:p>
    <w:p>
      <w:r>
        <w:rPr>
          <w:color w:val="555555"/>
          <w:sz w:val="17"/>
        </w:rPr>
        <w:t xml:space="preserve">Zitiervorschlag: Art XI § 5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https://recht.nulegal.eu/gesetze/IntPat%C3%9CbkG/xi-5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