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XI § 4 IntPatÜbkG</w:t>
      </w:r>
    </w:p>
    <w:p>
      <w:r>
        <w:rPr>
          <w:color w:val="555555"/>
          <w:sz w:val="18"/>
        </w:rPr>
        <w:t xml:space="preserve">Gesetz über internationale Patentübereinkommen</w:t>
      </w:r>
    </w:p>
    <w:p>
      <w:r>
        <w:rPr>
          <w:color w:val="555555"/>
          <w:sz w:val="18"/>
        </w:rPr>
        <w:t xml:space="preserve">Stand: 10.06.2019 (konsolidierte Textfassung, kein amtliches Inkrafttretensdatum)</w:t>
      </w:r>
    </w:p>
    <w:p>
      <w:r>
        <w:t xml:space="preserve">Für europäische Patente, für die der Hinweis auf die Erteilung vor dem 1. Mai 2008 im Europäischen Patentblatt veröffentlicht worden ist, bleiben Artikel II § 3 dieses Gesetzes, § 2 Abs. 1 des Patentkostengesetzes vom 13. Dezember 2001 (BGBl. I S. 3656), die Verordnung über die Übertragung der Ermächtigung nach Artikel II § 3 Abs. 6 des Gesetzes über internationale Patentübereinkommen vom 1. Juni 1992 (BGBl. 1992 II S. 375) und die Verordnung über die Übersetzungen europäischer Patentschriften vom 2. Juni 1992 (BGBl. 1992 II S. 395) jeweils in den Fassungen anwendbar, die im Zeitpunkt der Veröffentlichung des Hinweises gegolten haben.</w:t>
      </w:r>
    </w:p>
    <w:p>
      <w:r>
        <w:rPr>
          <w:color w:val="555555"/>
          <w:sz w:val="17"/>
        </w:rPr>
        <w:t xml:space="preserve">Zitiervorschlag: Art XI § 4 IntPatÜbkG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https://recht.nulegal.eu/gesetze/IntPat%C3%9CbkG/xi-4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