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X IntPatÜbkG — Bekanntmachung von Änderungen</w:t>
      </w:r>
    </w:p>
    <w:p>
      <w:r>
        <w:rPr>
          <w:color w:val="555555"/>
          <w:sz w:val="18"/>
        </w:rPr>
        <w:t xml:space="preserve">Gesetz über internationale Patentübereinkommen</w:t>
      </w:r>
    </w:p>
    <w:p>
      <w:r>
        <w:rPr>
          <w:color w:val="555555"/>
          <w:sz w:val="18"/>
        </w:rPr>
        <w:t xml:space="preserve">Stand: 04.07.2023 (konsolidierte Textfassung, kein amtliches Inkrafttretensdatum)</w:t>
      </w:r>
    </w:p>
    <w:p>
      <w:r>
        <w:t xml:space="preserve">Im Bundesgesetzblatt sind bekanntzumachen:</w:t>
      </w:r>
    </w:p>
    <w:p>
      <w:pPr>
        <w:ind w:left="420"/>
      </w:pPr>
      <w:r>
        <w:t xml:space="preserve">1. Änderungen des Europäischen Patentübereinkommens, die der Verwaltungsrat der Europäischen Patentorganisation nach Artikel 33 Abs. 1 des Europäischen Patentübereinkommens beschließt, und die Gebührenordnung, die nach Artikel 33 Abs. 2 Buchstabe d erlassen wird, sowie deren Änderung;</w:t>
      </w:r>
    </w:p>
    <w:p>
      <w:pPr>
        <w:ind w:left="420"/>
      </w:pPr>
      <w:r>
        <w:t xml:space="preserve">2. Änderungen des Patentzusammenarbeitsvertrags und der Ausführungsordnung zu diesem Vertrag, die die Versammlung des Verbands für die Internationale Zusammenarbeit auf dem Gebiet des Patentwesens nach Artikel 47 Abs. 2, Artikel 58 Abs. 2 und Artikel 61 Abs. 2 des Vertrags beschließt. Das gleiche gilt für Änderungen im schriftlichen Verfahren nach Artikel 47 Abs. 2 des Vertrags;</w:t>
      </w:r>
    </w:p>
    <w:p>
      <w:pPr>
        <w:ind w:left="420"/>
      </w:pPr>
      <w:r>
        <w:t xml:space="preserve">3. Änderungen der Satzung des Einheitlichen Patentgerichts, die der Verwaltungsausschuss des Einheitlichen Patentgerichts nach Artikel 40 Absatz 2 des Übereinkommens über ein Einheitliches Patentgericht beschließt, die Verfahrensordnung des Einheitlichen Patentgerichts sowie deren Änderung, die der Verwaltungsausschuss des Einheitlichen Patentgerichts nach Artikel 41 Absatz 2 des Übereinkommens über ein Einheitliches Patentgericht beschließt.</w:t>
      </w:r>
    </w:p>
    <w:p>
      <w:r>
        <w:rPr>
          <w:color w:val="555555"/>
          <w:sz w:val="17"/>
        </w:rPr>
        <w:t xml:space="preserve">Zitiervorschlag: Art X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https://recht.nulegal.eu/gesetze/IntPat%C3%9CbkG/x</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