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VII IntPatÜbkG — Einschränkung von Vorschriften der Patentanwaltsordnung und der Bundesrechtsanwaltsordnung</w:t>
      </w:r>
    </w:p>
    <w:p>
      <w:r>
        <w:rPr>
          <w:color w:val="555555"/>
          <w:sz w:val="18"/>
        </w:rPr>
        <w:t xml:space="preserve">Gesetz über internationale Patentübereinkommen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die Begründung eines Geschäftssitzes nach Artikel 134 Abs. 6 und 8 des Europäischen Patentübereinkommens außerhalb des Geltungsbereichs dieses Gesetzes sind § 28 der Patentanwaltsordnung und § 28 der Bundesrechtsanwaltsordnung nicht anzuwenden.</w:t>
      </w:r>
    </w:p>
    <w:p>
      <w:r>
        <w:rPr>
          <w:color w:val="555555"/>
          <w:sz w:val="17"/>
        </w:rPr>
        <w:t xml:space="preserve">Zitiervorschlag: Art VII IntPatÜbkG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https://recht.nulegal.eu/gesetze/IntPat%C3%9CbkG/vii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