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III § 8 IntPatÜbkG — Veröffentlichung der internationalen Anmeldung</w:t>
      </w:r>
    </w:p>
    <w:p>
      <w:r>
        <w:rPr>
          <w:color w:val="555555"/>
          <w:sz w:val="18"/>
        </w:rPr>
        <w:t xml:space="preserve">Gesetz über internationale Patentübereinkommen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Veröffentlichung einer internationalen Anmeldung nach Artikel 21 des Patentzusammenarbeitsvertrags, für die das Deutsche Patent- und Markenamt Bestimmungsamt ist, hat die gleiche Wirkung wie die Veröffentlichung eines Hinweises nach § 32 Abs. 5 des Patentgesetzes für eine beim Deutschen Patentamt eingereichte Patentanmeldung (§ 33 des Patentgesetzes). Ein Hinweis auf die Veröffentlichung wird im Patentblatt bekanntgemacht.</w:t>
      </w:r>
    </w:p>
    <w:p>
      <w:r>
        <w:t xml:space="preserve">(2) Ist die internationale Anmeldung vom Internationalen Büro nicht in deutscher Sprache veröffentlicht worden, so veröffentlicht das Deutsche Patent- und Markenamt die ihm zugeleitete Übersetzung der internationalen Anmeldung von Amts wegen. In diesem Fall treten die Wirkungen nach Absatz 1 erst vom Zeitpunkt der Veröffentlichung der deutschen Übersetzung an ein.</w:t>
      </w:r>
    </w:p>
    <w:p>
      <w:r>
        <w:t xml:space="preserve">(3) Die nach Artikel 21 des Patentzusammenarbeitsvertrags veröffentlichte internationale Anmeldung gilt erst dann als Stand der Technik nach § 3 Abs. 2 des Patentgesetzes, wenn die in § 4 Abs. 2 genannten Voraussetzungen erfüllt sind.</w:t>
      </w:r>
    </w:p>
    <w:p>
      <w:r>
        <w:rPr>
          <w:color w:val="555555"/>
          <w:sz w:val="17"/>
        </w:rPr>
        <w:t xml:space="preserve">Zitiervorschlag: Art III § 8 IntPatÜbkG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https://recht.nulegal.eu/gesetze/IntPat%C3%9CbkG/iii-8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