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III § 7 IntPatÜbkG — Internationaler Recherchenbericht</w:t>
      </w:r>
    </w:p>
    <w:p>
      <w:r>
        <w:rPr>
          <w:color w:val="555555"/>
          <w:sz w:val="18"/>
        </w:rPr>
        <w:t xml:space="preserve">Gesetz über internationale Patentübereinkommen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Liegt für die internationale Anmeldung ein internationaler Recherchenbericht vor, so ermäßigt sich die nach § 44 Abs. 3 des Patentgesetzes zu zahlende Gebühr für die Prüfung der Anmeldung in gleicher Weise, wie wenn beim Deutschen Patent- und Markenamt ein Antrag nach § 43 Abs. 1 des Patentgesetzes gestellt worden wäre. Eine Ermäßigung nach Satz 1 tritt nicht ein, wenn der internationale Recherchenbericht für Teile der Anmeldung nicht erstellt worden ist.</w:t>
      </w:r>
    </w:p>
    <w:p>
      <w:r>
        <w:rPr>
          <w:color w:val="555555"/>
          <w:sz w:val="17"/>
        </w:rPr>
        <w:t xml:space="preserve">Zitiervorschlag: Art III § 7 IntPatÜbkG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https://recht.nulegal.eu/gesetze/IntPat%C3%9CbkG/iii-7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