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II § 4 IntPatÜbkG — Einreichung europäischer Patentanmeldungen beim Deutschen Patent- und Markenamt</w:t>
      </w:r>
    </w:p>
    <w:p>
      <w:r>
        <w:rPr>
          <w:color w:val="555555"/>
          <w:sz w:val="18"/>
        </w:rPr>
        <w:t xml:space="preserve">Gesetz über internationale Patentübereinkommen</w:t>
      </w:r>
    </w:p>
    <w:p>
      <w:r>
        <w:rPr>
          <w:color w:val="555555"/>
          <w:sz w:val="18"/>
        </w:rPr>
        <w:t xml:space="preserve">Stand: 10.06.2019 (konsolidierte Textfassung, kein amtliches Inkrafttretensdatum)</w:t>
      </w:r>
    </w:p>
    <w:p>
      <w:r>
        <w:t xml:space="preserve">(1) Europäische Patentanmeldungen können auch beim Deutschen Patent- und Markenamt oder gemäß § 34 Abs. 2 des Patentgesetzes über ein Patentinformationszentrum eingereicht werden. Die nach dem europäischen Patentübereinkommen zu zahlenden Gebühren sind unmittelbar an das Europäische Patentamt zu entrichten.</w:t>
      </w:r>
    </w:p>
    <w:p>
      <w:r>
        <w:t xml:space="preserve">(2) Europäische Anmeldungen, die ein Staatsgeheimnis (§ 93 des Strafgesetzbuches) enthalten können, sind beim Deutschen Patent- und Markenamt nach Maßgabe folgender Vorschriften einzureichen:</w:t>
      </w:r>
    </w:p>
    <w:p>
      <w:pPr>
        <w:ind w:left="420"/>
      </w:pPr>
      <w:r>
        <w:t xml:space="preserve">1. In einer Anlage zur Anmeldung ist darauf hinzuweisen, daß die angemeldete Erfindung nach Auffassung des Anmelders ein Staatsgeheimnis enthalten kann.</w:t>
      </w:r>
    </w:p>
    <w:p>
      <w:pPr>
        <w:ind w:left="420"/>
      </w:pPr>
      <w:r>
        <w:t xml:space="preserve">2. Genügt die Anmeldung den Anforderungen der Nummer 1 nicht, so wird die Entgegennahme durch Beschluß abgelehnt. Auf das Verfahren sind die Vorschriften des Patentgesetzes entsprechend anzuwenden. Die Entgegennahme der Anmeldung kann nicht mit der Begründung abgelehnt werden, daß die Anmeldung kein Staatsgeheimnis enthalte.</w:t>
      </w:r>
    </w:p>
    <w:p>
      <w:pPr>
        <w:ind w:left="420"/>
      </w:pPr>
      <w:r>
        <w:t xml:space="preserve">3. Das Deutsche Patent- und Markenamt prüft die nach Maßgabe der Nummer 1 eingereichten Anmeldungen unverzüglich darauf, ob mit ihnen Patentschutz für eine Erfindung nachgesucht wird, die ein Staatsgeheimnis (§ 93 des Strafgesetzbuches) ist. Für das Verfahren gelten die Vorschriften des Patentgesetzes entsprechend; § 53 des Patentgesetzes ist anzuwenden.</w:t>
      </w:r>
    </w:p>
    <w:p>
      <w:pPr>
        <w:ind w:left="420"/>
      </w:pPr>
      <w:r>
        <w:t xml:space="preserve">4. Ergibt die Prüfung nach Nummer 3, daß die Erfindung ein Staatsgeheimnis ist, so ordnet das Deutsche Patent- und Markenamt von Amts wegen an, daß die Anmeldung nicht weitergeleitet wird und jede Bekanntmachung unterbleibt. Mit der Rechtskraft der Anordnung gilt die europäische Patentanmeldung auch als eine von Anfang an beim Deutschen Patent- und Markenamt eingereichte nationale Patentanmeldung, für die eine Anordnung nach § 50 Abs. 1 des Patentgesetzes ergangen ist. § 9 Abs. 2 ist entsprechend anzuwenden.</w:t>
      </w:r>
    </w:p>
    <w:p>
      <w:r>
        <w:t xml:space="preserve">(3) Enthält die Anmeldung kein Staatsgeheimnis, so leitet das Deutsche Patent- und Markenamt die Patentanmeldung an das Europäische Patentamt weiter und unterrichtet den Anmelder hiervon.</w:t>
      </w:r>
    </w:p>
    <w:p>
      <w:r>
        <w:rPr>
          <w:color w:val="555555"/>
          <w:sz w:val="17"/>
        </w:rPr>
        <w:t xml:space="preserve">Zitiervorschlag: Art II § 4 IntPatÜbkG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https://recht.nulegal.eu/gesetze/IntPat%C3%9CbkG/ii-4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