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 § 20 IntPatÜbkG — Anwendung der Justizbeitreibungsordnung für die Beitreibung von Ansprüchen des Einheitlichen Patentgerichts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(1) Die Vorschriften der Justizbeitreibungsordnung sind auf die Beitreibung von Ordnungs- und Zwangsgeldern sowie der sonstigen dem § 1 Absatz 1 der Justizbeitreibungsordnung entsprechenden Ansprüche des Einheitlichen Patentgerichts entsprechend anwendbar.</w:t>
      </w:r>
    </w:p>
    <w:p>
      <w:r>
        <w:t xml:space="preserve">(2) Vollstreckungsbehörde für Ansprüche nach Absatz 1 ist das Bundesamt für Justiz.</w:t>
      </w:r>
    </w:p>
    <w:p>
      <w:r>
        <w:rPr>
          <w:color w:val="555555"/>
          <w:sz w:val="17"/>
        </w:rPr>
        <w:t xml:space="preserve">Zitiervorschlag: Art II § 20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https://recht.nulegal.eu/gesetze/IntPat%C3%9CbkG/ii-20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