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II § 2 IntPatÜbkG — Veröffentlichung von Übersetzungen der Patentansprüche europäischer Patentanmeldungen</w:t>
      </w:r>
    </w:p>
    <w:p>
      <w:r>
        <w:rPr>
          <w:color w:val="555555"/>
          <w:sz w:val="18"/>
        </w:rPr>
        <w:t xml:space="preserve">Gesetz über internationale Patentübereinkommen</w:t>
      </w:r>
    </w:p>
    <w:p>
      <w:r>
        <w:rPr>
          <w:color w:val="555555"/>
          <w:sz w:val="18"/>
        </w:rPr>
        <w:t xml:space="preserve">Stand: 10.06.2019 (konsolidierte Textfassung, kein amtliches Inkrafttretensdatum)</w:t>
      </w:r>
    </w:p>
    <w:p>
      <w:r>
        <w:t xml:space="preserve">(1) Das Deutsche Patent- und Markenamt veröffentlicht auf Antrag des Anmelders die nach § 1 Abs. 2 eingereichte Übersetzung.</w:t>
      </w:r>
    </w:p>
    <w:p>
      <w:r>
        <w:t xml:space="preserve">(2) Das Bundesministerium der Justiz und für Verbraucherschutz wird ermächtigt, durch Rechtsverordnung ohne Zustimmung des Bundesrates Bestimmungen über die sonstigen Erfordernisse für die Veröffentlichung zu erlassen. Es kann diese Ermächtigung durch Rechtsverordnung ohne Zustimmung des Bundesrates auf das Deutsche Patent- und Markenamt übertragen.</w:t>
      </w:r>
    </w:p>
    <w:p>
      <w:r>
        <w:rPr>
          <w:color w:val="555555"/>
          <w:sz w:val="17"/>
        </w:rPr>
        <w:t xml:space="preserve">Zitiervorschlag: Art II § 2 IntPatÜbkG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https://recht.nulegal.eu/gesetze/IntPat%C3%9CbkG/ii-2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