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II § 17 IntPatÜbkG — Verzicht auf das europäische Patent mit einheitlicher Wirkung</w:t>
      </w:r>
    </w:p>
    <w:p>
      <w:r>
        <w:rPr>
          <w:color w:val="555555"/>
          <w:sz w:val="18"/>
        </w:rPr>
        <w:t xml:space="preserve">Gesetz über internationale Patentübereinkommen</w:t>
      </w:r>
    </w:p>
    <w:p>
      <w:r>
        <w:rPr>
          <w:color w:val="555555"/>
          <w:sz w:val="18"/>
        </w:rPr>
        <w:t xml:space="preserve">Stand: 04.07.2023 (konsolidierte Textfassung, kein amtliches Inkrafttretensdatum)</w:t>
      </w:r>
    </w:p>
    <w:p>
      <w:r>
        <w:t xml:space="preserve">§ 20 Absatz 1 Nummer 1 des Patentgesetzes findet auf europäische Patente mit einheitlicher Wirkung keine Anwendung.</w:t>
      </w:r>
    </w:p>
    <w:p>
      <w:r>
        <w:rPr>
          <w:color w:val="555555"/>
          <w:sz w:val="17"/>
        </w:rPr>
        <w:t xml:space="preserve">Zitiervorschlag: Art II § 17 IntPatÜbkG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https://recht.nulegal.eu/gesetze/IntPat%C3%9CbkG/ii-17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