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IntMilPVorRV</w:t>
      </w:r>
    </w:p>
    <w:p>
      <w:r>
        <w:rPr>
          <w:color w:val="555555"/>
          <w:sz w:val="18"/>
        </w:rPr>
        <w:t xml:space="preserve">Verordnung über die Gewährung von Vorrechten und Befreiungen an Militärpersonal der internationalen militärischen Hauptquartiere in der Bundesrepublik Deutschland</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(Bundesgesetzbl. 1954 II S. 639), zuletzt geändert durch das Gesetz vom 28. Februar 1964 (Bundesgesetzbl. II S. 187), verordnet die Bundesregierung mit Zustimmung des Bundesrates:</w:t>
      </w:r>
    </w:p>
    <w:p>
      <w:r>
        <w:rPr>
          <w:color w:val="555555"/>
          <w:sz w:val="17"/>
        </w:rPr>
        <w:t xml:space="preserve">Zitiervorschlag: Eingangsformel IntMilPVorRV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https://recht.nulegal.eu/gesetze/IntMilPVorRV/eingangsformel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