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IntMilPVorRV</w:t>
      </w:r>
    </w:p>
    <w:p>
      <w:r>
        <w:rPr>
          <w:color w:val="555555"/>
          <w:sz w:val="18"/>
        </w:rPr>
        <w:t xml:space="preserve">Verordnung über die Gewährung von Vorrechten und Befreiungen an Militärpersonal der internationalen militärischen Hauptquartiere in der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Diese Verordnung tritt an dem Tage außer Kraft, an dem das Ergänzungsabkommen außer Kraft tritt.</w:t>
      </w:r>
    </w:p>
    <w:p>
      <w:r>
        <w:t xml:space="preserve">(3) Der Tag des Außerkrafttretens ist im Bundesgesetzblatt bekanntzugeben.</w:t>
      </w:r>
    </w:p>
    <w:p>
      <w:r>
        <w:rPr>
          <w:color w:val="555555"/>
          <w:sz w:val="17"/>
        </w:rPr>
        <w:t xml:space="preserve">Zitiervorschlag: § 2 IntMilPVorRV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https://recht.nulegal.eu/gesetze/IntMilPVorRV/2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