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1c IntMeerSchÜbk1973G</w:t>
      </w:r>
    </w:p>
    <w:p>
      <w:r>
        <w:rPr>
          <w:color w:val="555555"/>
          <w:sz w:val="18"/>
        </w:rPr>
        <w:t xml:space="preserve">MARPOL-Gesetz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Anspruch, der in Artikel 7 Abs. 2 des Übereinkommens sowie in der in Artikel 1 Abs. 2 genannten Regelung erwähnt ist, schließt der Ausdruck "Schiff" den Eigentümer und den Betreiber des Schiffes ein.</w:t>
      </w:r>
    </w:p>
    <w:p>
      <w:r>
        <w:rPr>
          <w:color w:val="555555"/>
          <w:sz w:val="17"/>
        </w:rPr>
        <w:t xml:space="preserve">Zitiervorschlag: Art 1c IntMeerSchÜbk1973G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https://recht.nulegal.eu/gesetze/IntMeerSch%C3%9Cbk1973G/1c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