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 IntGüRVG — Authentizität einer deutschen öffentlichen Urkunde</w:t>
      </w:r>
    </w:p>
    <w:p>
      <w:r>
        <w:rPr>
          <w:color w:val="555555"/>
          <w:sz w:val="18"/>
        </w:rPr>
        <w:t xml:space="preserve">Internationales Güterrechtsverfahrensgesetz</w:t>
      </w:r>
    </w:p>
    <w:p>
      <w:r>
        <w:rPr>
          <w:color w:val="555555"/>
          <w:sz w:val="18"/>
        </w:rPr>
        <w:t xml:space="preserve">Stand: 10.06.2019 (konsolidierte Textfassung, kein amtliches Inkrafttretensdatum)</w:t>
      </w:r>
    </w:p>
    <w:p>
      <w:r>
        <w:t xml:space="preserve">(1) Über Einwände nach Artikel 58 Absatz 2 der Verordnung (EU) 2016/1103 oder Artikel 58 Absatz 2 der Verordnung (EU) 2016/1104 gegen die Authentizität einer deutschen öffentlichen Urkunde entscheidet bei gerichtlichen Urkunden das Gericht, das die Urkunde errichtet hat. Bei notariellen Urkunden entscheidet das für den Amtssitz des Notars zuständige Amtsgericht. Bei einer von einem Konsularbeamten im Ausland errichteten Urkunde entscheidet das Amtsgericht Schöneberg in Berlin. Im Übrigen entscheidet das Amtsgericht, in dessen Bezirk die Urkunde errichtet worden ist.</w:t>
      </w:r>
    </w:p>
    <w:p>
      <w:r>
        <w:t xml:space="preserve">(2) Die Endentscheidung wird mit Rechtskraft wirksam. Eine Abänderung ist ausgeschlossen. Der Beschluss wirkt für und gegen jedermann.</w:t>
      </w:r>
    </w:p>
    <w:p>
      <w:r>
        <w:rPr>
          <w:color w:val="555555"/>
          <w:sz w:val="17"/>
        </w:rPr>
        <w:t xml:space="preserve">Zitiervorschlag: § 31 IntGüRVG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https://recht.nulegal.eu/gesetze/IntG%C3%BCRVG/31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